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CC0D" w14:textId="791E9E21" w:rsidR="008C4269" w:rsidRPr="008C4269" w:rsidRDefault="008C4269" w:rsidP="008C4269">
      <w:pPr>
        <w:shd w:val="clear" w:color="auto" w:fill="17365D"/>
        <w:spacing w:after="200" w:line="276" w:lineRule="auto"/>
        <w:rPr>
          <w:rFonts w:eastAsia="Calibri"/>
          <w:b/>
          <w:sz w:val="40"/>
          <w:szCs w:val="40"/>
        </w:rPr>
      </w:pPr>
      <w:r w:rsidRPr="008C4269">
        <w:rPr>
          <w:rFonts w:eastAsia="Calibri"/>
          <w:b/>
          <w:sz w:val="40"/>
          <w:szCs w:val="40"/>
        </w:rPr>
        <w:t>HARROW COUNCIL</w:t>
      </w:r>
      <w:r w:rsidR="00B35ED0">
        <w:rPr>
          <w:rFonts w:eastAsia="Calibri"/>
          <w:b/>
          <w:sz w:val="40"/>
          <w:szCs w:val="40"/>
        </w:rPr>
        <w:t xml:space="preserve"> </w:t>
      </w:r>
      <w:r w:rsidR="00B35ED0">
        <w:rPr>
          <w:rFonts w:eastAsia="Calibri"/>
          <w:b/>
          <w:sz w:val="40"/>
          <w:szCs w:val="40"/>
        </w:rPr>
        <w:tab/>
      </w:r>
      <w:r w:rsidR="00B35ED0">
        <w:rPr>
          <w:rFonts w:eastAsia="Calibri"/>
          <w:b/>
          <w:sz w:val="40"/>
          <w:szCs w:val="40"/>
        </w:rPr>
        <w:tab/>
      </w:r>
      <w:r w:rsidR="00B35ED0">
        <w:rPr>
          <w:rFonts w:eastAsia="Calibri"/>
          <w:b/>
          <w:sz w:val="40"/>
          <w:szCs w:val="40"/>
        </w:rPr>
        <w:tab/>
      </w:r>
      <w:r w:rsidR="00B35ED0">
        <w:rPr>
          <w:rFonts w:eastAsia="Calibri"/>
          <w:b/>
          <w:sz w:val="40"/>
          <w:szCs w:val="40"/>
        </w:rPr>
        <w:tab/>
      </w:r>
      <w:r w:rsidR="00B35ED0">
        <w:rPr>
          <w:rFonts w:eastAsia="Calibri"/>
          <w:b/>
          <w:sz w:val="40"/>
          <w:szCs w:val="40"/>
        </w:rPr>
        <w:tab/>
        <w:t xml:space="preserve">     Appendix </w:t>
      </w:r>
      <w:r w:rsidR="00ED754A">
        <w:rPr>
          <w:rFonts w:eastAsia="Calibri"/>
          <w:b/>
          <w:sz w:val="40"/>
          <w:szCs w:val="40"/>
        </w:rPr>
        <w:t>2</w:t>
      </w:r>
    </w:p>
    <w:p w14:paraId="6294F55F" w14:textId="1A544805" w:rsidR="00C7752C" w:rsidRDefault="008C4269" w:rsidP="008C4269">
      <w:pPr>
        <w:shd w:val="clear" w:color="auto" w:fill="17365D"/>
        <w:spacing w:after="200" w:line="276" w:lineRule="auto"/>
        <w:rPr>
          <w:rFonts w:eastAsia="Calibri"/>
          <w:b/>
          <w:sz w:val="40"/>
          <w:szCs w:val="40"/>
        </w:rPr>
      </w:pPr>
      <w:r>
        <w:rPr>
          <w:rFonts w:eastAsia="Calibri"/>
          <w:b/>
          <w:sz w:val="40"/>
          <w:szCs w:val="40"/>
        </w:rPr>
        <w:t>Corporate Anti-Fraud Team</w:t>
      </w:r>
      <w:r w:rsidR="00836D3C">
        <w:rPr>
          <w:rFonts w:eastAsia="Calibri"/>
          <w:b/>
          <w:sz w:val="40"/>
          <w:szCs w:val="40"/>
        </w:rPr>
        <w:t xml:space="preserve"> Year</w:t>
      </w:r>
      <w:r w:rsidR="00927D89">
        <w:rPr>
          <w:rFonts w:eastAsia="Calibri"/>
          <w:b/>
          <w:sz w:val="40"/>
          <w:szCs w:val="40"/>
        </w:rPr>
        <w:t>-End</w:t>
      </w:r>
      <w:r w:rsidRPr="008C4269">
        <w:rPr>
          <w:rFonts w:eastAsia="Calibri"/>
          <w:b/>
          <w:sz w:val="40"/>
          <w:szCs w:val="40"/>
        </w:rPr>
        <w:t xml:space="preserve"> Report</w:t>
      </w:r>
      <w:r w:rsidR="00ED1538">
        <w:rPr>
          <w:rFonts w:eastAsia="Calibri"/>
          <w:b/>
          <w:sz w:val="40"/>
          <w:szCs w:val="40"/>
        </w:rPr>
        <w:t xml:space="preserve"> </w:t>
      </w:r>
    </w:p>
    <w:p w14:paraId="079637E0" w14:textId="2169160B" w:rsidR="008C4269" w:rsidRPr="008C4269" w:rsidRDefault="00836D3C" w:rsidP="008C4269">
      <w:pPr>
        <w:shd w:val="clear" w:color="auto" w:fill="17365D"/>
        <w:spacing w:after="200" w:line="276" w:lineRule="auto"/>
        <w:rPr>
          <w:rFonts w:eastAsia="Calibri"/>
          <w:b/>
          <w:sz w:val="40"/>
          <w:szCs w:val="40"/>
        </w:rPr>
      </w:pPr>
      <w:r>
        <w:rPr>
          <w:rFonts w:eastAsia="Calibri"/>
          <w:b/>
          <w:sz w:val="40"/>
          <w:szCs w:val="40"/>
        </w:rPr>
        <w:t>20</w:t>
      </w:r>
      <w:r w:rsidR="0023023C">
        <w:rPr>
          <w:rFonts w:eastAsia="Calibri"/>
          <w:b/>
          <w:sz w:val="40"/>
          <w:szCs w:val="40"/>
        </w:rPr>
        <w:t>2</w:t>
      </w:r>
      <w:r w:rsidR="00B16D2C">
        <w:rPr>
          <w:rFonts w:eastAsia="Calibri"/>
          <w:b/>
          <w:sz w:val="40"/>
          <w:szCs w:val="40"/>
        </w:rPr>
        <w:t>1</w:t>
      </w:r>
      <w:r w:rsidR="00C7752C">
        <w:rPr>
          <w:rFonts w:eastAsia="Calibri"/>
          <w:b/>
          <w:sz w:val="40"/>
          <w:szCs w:val="40"/>
        </w:rPr>
        <w:t>/</w:t>
      </w:r>
      <w:r>
        <w:rPr>
          <w:rFonts w:eastAsia="Calibri"/>
          <w:b/>
          <w:sz w:val="40"/>
          <w:szCs w:val="40"/>
        </w:rPr>
        <w:t>2</w:t>
      </w:r>
      <w:r w:rsidR="00B16D2C">
        <w:rPr>
          <w:rFonts w:eastAsia="Calibri"/>
          <w:b/>
          <w:sz w:val="40"/>
          <w:szCs w:val="40"/>
        </w:rPr>
        <w:t>2</w:t>
      </w:r>
      <w:r w:rsidR="008C4269" w:rsidRPr="008C4269">
        <w:rPr>
          <w:rFonts w:eastAsia="Calibri"/>
          <w:b/>
          <w:sz w:val="40"/>
          <w:szCs w:val="40"/>
        </w:rPr>
        <w:br/>
      </w:r>
    </w:p>
    <w:p w14:paraId="28EA313E" w14:textId="77777777" w:rsidR="008C4269" w:rsidRDefault="008C4269" w:rsidP="00F0044D">
      <w:pPr>
        <w:ind w:left="60"/>
        <w:jc w:val="both"/>
        <w:rPr>
          <w:b/>
          <w:color w:val="000000"/>
          <w:lang w:val="en-US"/>
        </w:rPr>
      </w:pPr>
    </w:p>
    <w:p w14:paraId="3B6FD916" w14:textId="77777777" w:rsidR="008C4269" w:rsidRPr="008C4269" w:rsidRDefault="008C4269" w:rsidP="008C4269">
      <w:pPr>
        <w:spacing w:after="200" w:line="276" w:lineRule="auto"/>
        <w:rPr>
          <w:rFonts w:eastAsia="Calibri"/>
          <w:b/>
          <w:sz w:val="40"/>
          <w:szCs w:val="40"/>
        </w:rPr>
      </w:pPr>
      <w:r w:rsidRPr="008C4269">
        <w:rPr>
          <w:rFonts w:eastAsia="Calibri"/>
          <w:b/>
          <w:sz w:val="40"/>
          <w:szCs w:val="40"/>
        </w:rPr>
        <w:t>CONTENTS:</w:t>
      </w:r>
    </w:p>
    <w:p w14:paraId="4CE7F85C" w14:textId="77777777" w:rsidR="00D93810" w:rsidRDefault="008C4269" w:rsidP="008C4269">
      <w:pPr>
        <w:spacing w:after="200" w:line="276" w:lineRule="auto"/>
        <w:rPr>
          <w:rFonts w:eastAsia="Calibri"/>
          <w:b/>
          <w:sz w:val="40"/>
          <w:szCs w:val="40"/>
        </w:rPr>
      </w:pPr>
      <w:r w:rsidRPr="008C4269">
        <w:rPr>
          <w:rFonts w:eastAsia="Calibri"/>
          <w:b/>
          <w:sz w:val="40"/>
          <w:szCs w:val="40"/>
        </w:rPr>
        <w:t>Introduction</w:t>
      </w:r>
    </w:p>
    <w:p w14:paraId="7A2FB351" w14:textId="77777777" w:rsidR="00301A0D" w:rsidRDefault="00ED1538" w:rsidP="008C4269">
      <w:pPr>
        <w:spacing w:after="200" w:line="276" w:lineRule="auto"/>
        <w:rPr>
          <w:rFonts w:eastAsia="Calibri"/>
          <w:b/>
          <w:sz w:val="40"/>
          <w:szCs w:val="40"/>
        </w:rPr>
      </w:pPr>
      <w:r>
        <w:rPr>
          <w:rFonts w:eastAsia="Calibri"/>
          <w:b/>
          <w:sz w:val="40"/>
          <w:szCs w:val="40"/>
        </w:rPr>
        <w:t>Summary of outputs</w:t>
      </w:r>
      <w:r w:rsidR="005A5058">
        <w:rPr>
          <w:rFonts w:eastAsia="Calibri"/>
          <w:b/>
          <w:sz w:val="40"/>
          <w:szCs w:val="40"/>
        </w:rPr>
        <w:t>/</w:t>
      </w:r>
      <w:r w:rsidR="00301A0D">
        <w:rPr>
          <w:rFonts w:eastAsia="Calibri"/>
          <w:b/>
          <w:sz w:val="40"/>
          <w:szCs w:val="40"/>
        </w:rPr>
        <w:t>Progress against the Plan</w:t>
      </w:r>
    </w:p>
    <w:p w14:paraId="12FF18B9" w14:textId="77777777" w:rsidR="00301A0D" w:rsidRDefault="00016305" w:rsidP="008C4269">
      <w:pPr>
        <w:spacing w:after="200" w:line="276" w:lineRule="auto"/>
        <w:rPr>
          <w:rFonts w:eastAsia="Calibri"/>
          <w:b/>
          <w:sz w:val="40"/>
          <w:szCs w:val="40"/>
        </w:rPr>
      </w:pPr>
      <w:r>
        <w:rPr>
          <w:rFonts w:eastAsia="Calibri"/>
          <w:b/>
          <w:sz w:val="40"/>
          <w:szCs w:val="40"/>
        </w:rPr>
        <w:t>Performance of Anti-Fraud Team</w:t>
      </w:r>
    </w:p>
    <w:p w14:paraId="5F643311" w14:textId="77777777" w:rsidR="008C4269" w:rsidRDefault="00505743" w:rsidP="008C4269">
      <w:pPr>
        <w:spacing w:after="200" w:line="276" w:lineRule="auto"/>
        <w:rPr>
          <w:rFonts w:eastAsia="Calibri"/>
          <w:b/>
          <w:sz w:val="40"/>
          <w:szCs w:val="40"/>
        </w:rPr>
      </w:pPr>
      <w:r>
        <w:rPr>
          <w:rFonts w:eastAsia="Calibri"/>
          <w:b/>
          <w:sz w:val="40"/>
          <w:szCs w:val="40"/>
        </w:rPr>
        <w:t xml:space="preserve">Fraud referrals, </w:t>
      </w:r>
      <w:proofErr w:type="gramStart"/>
      <w:r>
        <w:rPr>
          <w:rFonts w:eastAsia="Calibri"/>
          <w:b/>
          <w:sz w:val="40"/>
          <w:szCs w:val="40"/>
        </w:rPr>
        <w:t>outputs</w:t>
      </w:r>
      <w:proofErr w:type="gramEnd"/>
      <w:r w:rsidR="00301A0D">
        <w:rPr>
          <w:rFonts w:eastAsia="Calibri"/>
          <w:b/>
          <w:sz w:val="40"/>
          <w:szCs w:val="40"/>
        </w:rPr>
        <w:t xml:space="preserve"> and savings summary</w:t>
      </w:r>
    </w:p>
    <w:p w14:paraId="2208066B" w14:textId="77777777" w:rsidR="002D554F" w:rsidRDefault="002D554F" w:rsidP="008C4269">
      <w:pPr>
        <w:spacing w:after="200" w:line="276" w:lineRule="auto"/>
        <w:rPr>
          <w:rFonts w:eastAsia="Calibri"/>
          <w:b/>
          <w:sz w:val="40"/>
          <w:szCs w:val="40"/>
        </w:rPr>
      </w:pPr>
    </w:p>
    <w:p w14:paraId="28EAF849" w14:textId="77777777" w:rsidR="002D554F" w:rsidRDefault="002D554F" w:rsidP="008C4269">
      <w:pPr>
        <w:spacing w:after="200" w:line="276" w:lineRule="auto"/>
        <w:rPr>
          <w:rFonts w:eastAsia="Calibri"/>
          <w:b/>
          <w:sz w:val="40"/>
          <w:szCs w:val="40"/>
        </w:rPr>
      </w:pPr>
    </w:p>
    <w:p w14:paraId="5943D1F3" w14:textId="77777777" w:rsidR="009D080F" w:rsidRDefault="009D080F" w:rsidP="008C4269">
      <w:pPr>
        <w:spacing w:after="200" w:line="276" w:lineRule="auto"/>
        <w:rPr>
          <w:rFonts w:eastAsia="Calibri"/>
          <w:b/>
          <w:sz w:val="40"/>
          <w:szCs w:val="40"/>
        </w:rPr>
      </w:pPr>
    </w:p>
    <w:p w14:paraId="19DA316B" w14:textId="77777777" w:rsidR="009D080F" w:rsidRDefault="009D080F" w:rsidP="008C4269">
      <w:pPr>
        <w:spacing w:after="200" w:line="276" w:lineRule="auto"/>
        <w:rPr>
          <w:rFonts w:eastAsia="Calibri"/>
          <w:b/>
          <w:sz w:val="40"/>
          <w:szCs w:val="40"/>
        </w:rPr>
      </w:pPr>
    </w:p>
    <w:p w14:paraId="62A69D0D" w14:textId="77777777" w:rsidR="009D080F" w:rsidRDefault="009D080F" w:rsidP="008C4269">
      <w:pPr>
        <w:spacing w:after="200" w:line="276" w:lineRule="auto"/>
        <w:rPr>
          <w:rFonts w:eastAsia="Calibri"/>
          <w:b/>
          <w:sz w:val="40"/>
          <w:szCs w:val="40"/>
        </w:rPr>
      </w:pPr>
    </w:p>
    <w:p w14:paraId="2CE3EAFE" w14:textId="77777777" w:rsidR="009D080F" w:rsidRDefault="009D080F" w:rsidP="008C4269">
      <w:pPr>
        <w:spacing w:after="200" w:line="276" w:lineRule="auto"/>
        <w:rPr>
          <w:rFonts w:eastAsia="Calibri"/>
          <w:b/>
          <w:sz w:val="40"/>
          <w:szCs w:val="40"/>
        </w:rPr>
      </w:pPr>
    </w:p>
    <w:p w14:paraId="3EBAE1FF" w14:textId="77777777" w:rsidR="009D080F" w:rsidRDefault="009D080F" w:rsidP="008C4269">
      <w:pPr>
        <w:spacing w:after="200" w:line="276" w:lineRule="auto"/>
        <w:rPr>
          <w:rFonts w:eastAsia="Calibri"/>
          <w:b/>
          <w:sz w:val="40"/>
          <w:szCs w:val="40"/>
        </w:rPr>
      </w:pPr>
    </w:p>
    <w:p w14:paraId="227CD7AB" w14:textId="77777777" w:rsidR="009D080F" w:rsidRDefault="009D080F" w:rsidP="008C4269">
      <w:pPr>
        <w:spacing w:after="200" w:line="276" w:lineRule="auto"/>
        <w:rPr>
          <w:rFonts w:eastAsia="Calibri"/>
          <w:b/>
          <w:sz w:val="40"/>
          <w:szCs w:val="40"/>
        </w:rPr>
      </w:pPr>
    </w:p>
    <w:p w14:paraId="2A6A8168" w14:textId="2AE5F14E" w:rsidR="009D080F" w:rsidRDefault="009D080F" w:rsidP="008C4269">
      <w:pPr>
        <w:spacing w:after="200" w:line="276" w:lineRule="auto"/>
        <w:rPr>
          <w:rFonts w:eastAsia="Calibri"/>
          <w:b/>
          <w:sz w:val="40"/>
          <w:szCs w:val="40"/>
        </w:rPr>
      </w:pPr>
    </w:p>
    <w:p w14:paraId="52671048" w14:textId="77777777" w:rsidR="00157B3A" w:rsidRPr="008C4269" w:rsidRDefault="00157B3A" w:rsidP="008C4269">
      <w:pPr>
        <w:spacing w:after="200" w:line="276" w:lineRule="auto"/>
        <w:rPr>
          <w:rFonts w:eastAsia="Calibri"/>
          <w:b/>
          <w:sz w:val="40"/>
          <w:szCs w:val="40"/>
        </w:rPr>
      </w:pPr>
    </w:p>
    <w:p w14:paraId="52F334CB" w14:textId="77777777" w:rsidR="00C0282A" w:rsidRPr="008C4269" w:rsidRDefault="00C0282A" w:rsidP="00C0282A">
      <w:pPr>
        <w:shd w:val="clear" w:color="auto" w:fill="17365D"/>
        <w:ind w:left="-142"/>
        <w:rPr>
          <w:rFonts w:eastAsia="Calibri"/>
          <w:b/>
          <w:sz w:val="40"/>
          <w:szCs w:val="40"/>
        </w:rPr>
      </w:pPr>
      <w:r w:rsidRPr="008C4269">
        <w:rPr>
          <w:rFonts w:eastAsia="Calibri"/>
          <w:b/>
          <w:sz w:val="40"/>
          <w:szCs w:val="40"/>
        </w:rPr>
        <w:lastRenderedPageBreak/>
        <w:t>Introduction</w:t>
      </w:r>
    </w:p>
    <w:p w14:paraId="573D2A8F" w14:textId="77777777" w:rsidR="008C4269" w:rsidRPr="008C4269" w:rsidRDefault="008C4269" w:rsidP="008C4269">
      <w:pPr>
        <w:rPr>
          <w:rFonts w:eastAsia="Calibri"/>
          <w:b/>
        </w:rPr>
      </w:pPr>
    </w:p>
    <w:p w14:paraId="60968F7B" w14:textId="10558975" w:rsidR="008C4269" w:rsidRPr="008C4269" w:rsidRDefault="008C4269" w:rsidP="008C4269">
      <w:pPr>
        <w:rPr>
          <w:rFonts w:eastAsia="Calibri"/>
          <w:color w:val="FF0000"/>
        </w:rPr>
      </w:pPr>
      <w:r w:rsidRPr="008C4269">
        <w:rPr>
          <w:rFonts w:eastAsia="Calibri"/>
          <w:lang w:val="en-US"/>
        </w:rPr>
        <w:t xml:space="preserve">This report outlines the </w:t>
      </w:r>
      <w:r>
        <w:rPr>
          <w:rFonts w:eastAsia="Calibri"/>
          <w:lang w:val="en-US"/>
        </w:rPr>
        <w:t xml:space="preserve">corporate ant-fraud </w:t>
      </w:r>
      <w:r w:rsidR="00806A12">
        <w:rPr>
          <w:rFonts w:eastAsia="Calibri"/>
          <w:lang w:val="en-US"/>
        </w:rPr>
        <w:t xml:space="preserve">work carried </w:t>
      </w:r>
      <w:r w:rsidR="00EE42AB">
        <w:rPr>
          <w:rFonts w:eastAsia="Calibri"/>
          <w:lang w:val="en-US"/>
        </w:rPr>
        <w:t xml:space="preserve">out during the year </w:t>
      </w:r>
      <w:r w:rsidR="00806A12">
        <w:rPr>
          <w:rFonts w:eastAsia="Calibri"/>
          <w:lang w:val="en-US"/>
        </w:rPr>
        <w:t>20</w:t>
      </w:r>
      <w:r w:rsidR="004B3D92">
        <w:rPr>
          <w:rFonts w:eastAsia="Calibri"/>
          <w:lang w:val="en-US"/>
        </w:rPr>
        <w:t>2</w:t>
      </w:r>
      <w:r w:rsidR="00B16D2C">
        <w:rPr>
          <w:rFonts w:eastAsia="Calibri"/>
          <w:lang w:val="en-US"/>
        </w:rPr>
        <w:t>1</w:t>
      </w:r>
      <w:r w:rsidR="00806A12">
        <w:rPr>
          <w:rFonts w:eastAsia="Calibri"/>
          <w:lang w:val="en-US"/>
        </w:rPr>
        <w:t>-2</w:t>
      </w:r>
      <w:r w:rsidR="00B16D2C">
        <w:rPr>
          <w:rFonts w:eastAsia="Calibri"/>
          <w:lang w:val="en-US"/>
        </w:rPr>
        <w:t>2</w:t>
      </w:r>
      <w:r w:rsidR="00EE42AB">
        <w:rPr>
          <w:rFonts w:eastAsia="Calibri"/>
          <w:lang w:val="en-US"/>
        </w:rPr>
        <w:t xml:space="preserve">.  </w:t>
      </w:r>
      <w:r w:rsidR="00BC4DED">
        <w:rPr>
          <w:rFonts w:eastAsia="Calibri"/>
          <w:lang w:val="en-US"/>
        </w:rPr>
        <w:t>The plan is risk based and developed through consultation int</w:t>
      </w:r>
      <w:r w:rsidR="00473BCD">
        <w:rPr>
          <w:rFonts w:eastAsia="Calibri"/>
          <w:lang w:val="en-US"/>
        </w:rPr>
        <w:t xml:space="preserve">ernally and </w:t>
      </w:r>
      <w:r w:rsidR="00BC4DED">
        <w:rPr>
          <w:rFonts w:eastAsia="Calibri"/>
          <w:lang w:val="en-US"/>
        </w:rPr>
        <w:t xml:space="preserve">drawing upon external sources of data to ensure that </w:t>
      </w:r>
      <w:r w:rsidR="00473BCD">
        <w:rPr>
          <w:rFonts w:eastAsia="Calibri"/>
          <w:lang w:val="en-US"/>
        </w:rPr>
        <w:t xml:space="preserve">where possible best practice is </w:t>
      </w:r>
      <w:proofErr w:type="gramStart"/>
      <w:r w:rsidR="00473BCD">
        <w:rPr>
          <w:rFonts w:eastAsia="Calibri"/>
          <w:lang w:val="en-US"/>
        </w:rPr>
        <w:t>followed</w:t>
      </w:r>
      <w:proofErr w:type="gramEnd"/>
      <w:r w:rsidR="00473BCD">
        <w:rPr>
          <w:rFonts w:eastAsia="Calibri"/>
          <w:lang w:val="en-US"/>
        </w:rPr>
        <w:t xml:space="preserve"> and </w:t>
      </w:r>
      <w:r w:rsidR="00BC4DED">
        <w:rPr>
          <w:rFonts w:eastAsia="Calibri"/>
          <w:lang w:val="en-US"/>
        </w:rPr>
        <w:t xml:space="preserve">fraud resources are targeted at those areas of the authority </w:t>
      </w:r>
      <w:r w:rsidR="00473BCD">
        <w:rPr>
          <w:rFonts w:eastAsia="Calibri"/>
          <w:lang w:val="en-US"/>
        </w:rPr>
        <w:t>deemed</w:t>
      </w:r>
      <w:r w:rsidR="00BC4DED">
        <w:rPr>
          <w:rFonts w:eastAsia="Calibri"/>
          <w:lang w:val="en-US"/>
        </w:rPr>
        <w:t xml:space="preserve"> to be of highest risk to fraud with the greatest potential </w:t>
      </w:r>
      <w:r w:rsidR="00473BCD">
        <w:rPr>
          <w:rFonts w:eastAsia="Calibri"/>
          <w:lang w:val="en-US"/>
        </w:rPr>
        <w:t xml:space="preserve">negative </w:t>
      </w:r>
      <w:r w:rsidR="00BC4DED">
        <w:rPr>
          <w:rFonts w:eastAsia="Calibri"/>
          <w:lang w:val="en-US"/>
        </w:rPr>
        <w:t>financial impact and/or reputational damage.  The plan is approved by the Governance, Audit, Risk Management &amp; Standards Committee</w:t>
      </w:r>
      <w:r w:rsidR="00473BCD">
        <w:rPr>
          <w:rFonts w:eastAsia="Calibri"/>
          <w:lang w:val="en-US"/>
        </w:rPr>
        <w:t xml:space="preserve"> (GARMS) </w:t>
      </w:r>
      <w:r w:rsidR="00BC4DED">
        <w:rPr>
          <w:rFonts w:eastAsia="Calibri"/>
          <w:lang w:val="en-US"/>
        </w:rPr>
        <w:t xml:space="preserve">annually </w:t>
      </w:r>
      <w:r w:rsidR="00473BCD">
        <w:rPr>
          <w:rFonts w:eastAsia="Calibri"/>
          <w:lang w:val="en-US"/>
        </w:rPr>
        <w:t xml:space="preserve">and mid-year </w:t>
      </w:r>
      <w:r w:rsidR="00CE1DA5">
        <w:rPr>
          <w:rFonts w:eastAsia="Calibri"/>
          <w:lang w:val="en-US"/>
        </w:rPr>
        <w:t xml:space="preserve">(not this year due to </w:t>
      </w:r>
      <w:r w:rsidR="00537C48">
        <w:rPr>
          <w:rFonts w:eastAsia="Calibri"/>
          <w:lang w:val="en-US"/>
        </w:rPr>
        <w:t>work undertaken on the significant governance gap</w:t>
      </w:r>
      <w:r w:rsidR="00CE1DA5">
        <w:rPr>
          <w:rFonts w:eastAsia="Calibri"/>
          <w:lang w:val="en-US"/>
        </w:rPr>
        <w:t xml:space="preserve">) </w:t>
      </w:r>
      <w:r w:rsidR="00473BCD">
        <w:rPr>
          <w:rFonts w:eastAsia="Calibri"/>
          <w:lang w:val="en-US"/>
        </w:rPr>
        <w:t xml:space="preserve">and year end progress reports provided against the plan </w:t>
      </w:r>
      <w:r w:rsidR="00BC4DED">
        <w:rPr>
          <w:rFonts w:eastAsia="Calibri"/>
          <w:lang w:val="en-US"/>
        </w:rPr>
        <w:t>to provide a level of assurance around the authorities’ fraud risk resilience capability</w:t>
      </w:r>
      <w:r w:rsidR="00E4737B">
        <w:rPr>
          <w:rFonts w:eastAsia="Calibri"/>
          <w:lang w:val="en-US"/>
        </w:rPr>
        <w:t xml:space="preserve"> and performance</w:t>
      </w:r>
      <w:r w:rsidR="00473BCD">
        <w:rPr>
          <w:rFonts w:eastAsia="Calibri"/>
          <w:lang w:val="en-US"/>
        </w:rPr>
        <w:t xml:space="preserve">.  </w:t>
      </w:r>
      <w:r w:rsidR="00BC4DED">
        <w:rPr>
          <w:rFonts w:eastAsia="Calibri"/>
          <w:lang w:val="en-US"/>
        </w:rPr>
        <w:t xml:space="preserve">        </w:t>
      </w:r>
    </w:p>
    <w:p w14:paraId="0B0B523B" w14:textId="77777777" w:rsidR="00F0044D" w:rsidRPr="00D3252E" w:rsidRDefault="00F0044D" w:rsidP="00F0044D">
      <w:pPr>
        <w:ind w:left="60"/>
        <w:jc w:val="both"/>
        <w:rPr>
          <w:b/>
          <w:lang w:val="en-US"/>
        </w:rPr>
      </w:pPr>
    </w:p>
    <w:p w14:paraId="4C5E4E2A" w14:textId="77777777" w:rsidR="008C4269" w:rsidRPr="008C4269" w:rsidRDefault="008C4269" w:rsidP="008C4269">
      <w:pPr>
        <w:shd w:val="clear" w:color="auto" w:fill="17365D"/>
        <w:ind w:left="-142" w:firstLine="142"/>
        <w:rPr>
          <w:rFonts w:eastAsia="Calibri"/>
          <w:b/>
          <w:sz w:val="40"/>
          <w:szCs w:val="40"/>
        </w:rPr>
      </w:pPr>
      <w:r w:rsidRPr="008C4269">
        <w:rPr>
          <w:rFonts w:eastAsia="Calibri"/>
          <w:b/>
          <w:sz w:val="40"/>
          <w:szCs w:val="40"/>
        </w:rPr>
        <w:t xml:space="preserve">Summary of </w:t>
      </w:r>
      <w:r w:rsidR="00ED1538">
        <w:rPr>
          <w:rFonts w:eastAsia="Calibri"/>
          <w:b/>
          <w:sz w:val="40"/>
          <w:szCs w:val="40"/>
        </w:rPr>
        <w:t>outputs</w:t>
      </w:r>
      <w:r w:rsidR="005A5058">
        <w:rPr>
          <w:rFonts w:eastAsia="Calibri"/>
          <w:b/>
          <w:sz w:val="40"/>
          <w:szCs w:val="40"/>
        </w:rPr>
        <w:t xml:space="preserve">/Progress against </w:t>
      </w:r>
      <w:r w:rsidR="005D7D25">
        <w:rPr>
          <w:rFonts w:eastAsia="Calibri"/>
          <w:b/>
          <w:sz w:val="40"/>
          <w:szCs w:val="40"/>
        </w:rPr>
        <w:t xml:space="preserve">the </w:t>
      </w:r>
      <w:r w:rsidR="005A5058">
        <w:rPr>
          <w:rFonts w:eastAsia="Calibri"/>
          <w:b/>
          <w:sz w:val="40"/>
          <w:szCs w:val="40"/>
        </w:rPr>
        <w:t>plan</w:t>
      </w:r>
    </w:p>
    <w:p w14:paraId="58E98BF4" w14:textId="77777777" w:rsidR="008C4269" w:rsidRDefault="008C4269" w:rsidP="00EF7582">
      <w:pPr>
        <w:tabs>
          <w:tab w:val="left" w:pos="4335"/>
        </w:tabs>
        <w:rPr>
          <w:b/>
        </w:rPr>
      </w:pPr>
    </w:p>
    <w:p w14:paraId="12AB02A9" w14:textId="36CDEDF9" w:rsidR="008C4269" w:rsidRPr="002E74AB" w:rsidRDefault="008C4269" w:rsidP="008C4269">
      <w:pPr>
        <w:rPr>
          <w:rFonts w:eastAsia="Calibri"/>
        </w:rPr>
      </w:pPr>
      <w:r w:rsidRPr="002E74AB">
        <w:rPr>
          <w:rFonts w:eastAsia="Calibri"/>
        </w:rPr>
        <w:t>A summary of key outputs from the programme of corporate anti-fraud work for the year</w:t>
      </w:r>
      <w:r w:rsidR="00473BCD" w:rsidRPr="002E74AB">
        <w:rPr>
          <w:rFonts w:eastAsia="Calibri"/>
        </w:rPr>
        <w:t xml:space="preserve"> is recorded in the table below.  </w:t>
      </w:r>
      <w:bookmarkStart w:id="0" w:name="_Hlk80800225"/>
      <w:r w:rsidR="00435CBB" w:rsidRPr="002E74AB">
        <w:rPr>
          <w:rFonts w:eastAsia="Calibri"/>
        </w:rPr>
        <w:t>Of the 1</w:t>
      </w:r>
      <w:r w:rsidR="00196E07" w:rsidRPr="002E74AB">
        <w:rPr>
          <w:rFonts w:eastAsia="Calibri"/>
        </w:rPr>
        <w:t>5</w:t>
      </w:r>
      <w:r w:rsidR="00473BCD" w:rsidRPr="002E74AB">
        <w:rPr>
          <w:rFonts w:eastAsia="Calibri"/>
        </w:rPr>
        <w:t xml:space="preserve"> work stre</w:t>
      </w:r>
      <w:r w:rsidR="00C0043F" w:rsidRPr="002E74AB">
        <w:rPr>
          <w:rFonts w:eastAsia="Calibri"/>
        </w:rPr>
        <w:t xml:space="preserve">ams contained within the plan, </w:t>
      </w:r>
      <w:r w:rsidR="00DF22FE" w:rsidRPr="00424C43">
        <w:rPr>
          <w:rFonts w:eastAsia="Calibri"/>
        </w:rPr>
        <w:t>10</w:t>
      </w:r>
      <w:r w:rsidR="00AD7E8F" w:rsidRPr="00424C43">
        <w:rPr>
          <w:rFonts w:eastAsia="Calibri"/>
        </w:rPr>
        <w:t xml:space="preserve"> (</w:t>
      </w:r>
      <w:r w:rsidR="00DF22FE" w:rsidRPr="00424C43">
        <w:rPr>
          <w:rFonts w:eastAsia="Calibri"/>
        </w:rPr>
        <w:t>6</w:t>
      </w:r>
      <w:r w:rsidR="00AD7E8F" w:rsidRPr="00424C43">
        <w:rPr>
          <w:rFonts w:eastAsia="Calibri"/>
        </w:rPr>
        <w:t xml:space="preserve">7%) were achieved, </w:t>
      </w:r>
      <w:r w:rsidR="00DF22FE" w:rsidRPr="00424C43">
        <w:rPr>
          <w:rFonts w:eastAsia="Calibri"/>
        </w:rPr>
        <w:t>1</w:t>
      </w:r>
      <w:r w:rsidR="00AD7E8F" w:rsidRPr="00424C43">
        <w:rPr>
          <w:rFonts w:eastAsia="Calibri"/>
        </w:rPr>
        <w:t xml:space="preserve"> (</w:t>
      </w:r>
      <w:r w:rsidR="00556ACC" w:rsidRPr="00424C43">
        <w:rPr>
          <w:rFonts w:eastAsia="Calibri"/>
        </w:rPr>
        <w:t>7</w:t>
      </w:r>
      <w:r w:rsidR="00AD7E8F" w:rsidRPr="00424C43">
        <w:rPr>
          <w:rFonts w:eastAsia="Calibri"/>
        </w:rPr>
        <w:t>%) w</w:t>
      </w:r>
      <w:r w:rsidR="00DF22FE" w:rsidRPr="00424C43">
        <w:rPr>
          <w:rFonts w:eastAsia="Calibri"/>
        </w:rPr>
        <w:t xml:space="preserve">as partially </w:t>
      </w:r>
      <w:r w:rsidR="00AD7E8F" w:rsidRPr="00424C43">
        <w:rPr>
          <w:rFonts w:eastAsia="Calibri"/>
        </w:rPr>
        <w:t xml:space="preserve">achieved, </w:t>
      </w:r>
      <w:r w:rsidR="00A348C9" w:rsidRPr="00424C43">
        <w:rPr>
          <w:rFonts w:eastAsia="Calibri"/>
        </w:rPr>
        <w:t>1</w:t>
      </w:r>
      <w:r w:rsidR="000D2E64" w:rsidRPr="00424C43">
        <w:rPr>
          <w:rFonts w:eastAsia="Calibri"/>
        </w:rPr>
        <w:t xml:space="preserve"> (</w:t>
      </w:r>
      <w:r w:rsidR="00A348C9" w:rsidRPr="00424C43">
        <w:rPr>
          <w:rFonts w:eastAsia="Calibri"/>
        </w:rPr>
        <w:t>7</w:t>
      </w:r>
      <w:r w:rsidR="000D2E64" w:rsidRPr="00424C43">
        <w:rPr>
          <w:rFonts w:eastAsia="Calibri"/>
        </w:rPr>
        <w:t xml:space="preserve">%) </w:t>
      </w:r>
      <w:r w:rsidR="00AD7E8F" w:rsidRPr="00424C43">
        <w:rPr>
          <w:rFonts w:eastAsia="Calibri"/>
        </w:rPr>
        <w:t>w</w:t>
      </w:r>
      <w:r w:rsidR="00A348C9" w:rsidRPr="00424C43">
        <w:rPr>
          <w:rFonts w:eastAsia="Calibri"/>
        </w:rPr>
        <w:t>as</w:t>
      </w:r>
      <w:r w:rsidR="00731366" w:rsidRPr="00424C43">
        <w:rPr>
          <w:rFonts w:eastAsia="Calibri"/>
        </w:rPr>
        <w:t xml:space="preserve"> not achieved and </w:t>
      </w:r>
      <w:r w:rsidR="00BB1228" w:rsidRPr="00424C43">
        <w:rPr>
          <w:rFonts w:eastAsia="Calibri"/>
        </w:rPr>
        <w:t>3</w:t>
      </w:r>
      <w:r w:rsidR="00731366" w:rsidRPr="00424C43">
        <w:rPr>
          <w:rFonts w:eastAsia="Calibri"/>
        </w:rPr>
        <w:t xml:space="preserve"> </w:t>
      </w:r>
      <w:r w:rsidR="000D2E64" w:rsidRPr="00424C43">
        <w:rPr>
          <w:rFonts w:eastAsia="Calibri"/>
        </w:rPr>
        <w:t>(</w:t>
      </w:r>
      <w:r w:rsidR="00A348C9" w:rsidRPr="00424C43">
        <w:rPr>
          <w:rFonts w:eastAsia="Calibri"/>
        </w:rPr>
        <w:t>20</w:t>
      </w:r>
      <w:r w:rsidR="000D2E64" w:rsidRPr="00424C43">
        <w:rPr>
          <w:rFonts w:eastAsia="Calibri"/>
        </w:rPr>
        <w:t>%)</w:t>
      </w:r>
      <w:r w:rsidR="00731366" w:rsidRPr="00424C43">
        <w:rPr>
          <w:rFonts w:eastAsia="Calibri"/>
        </w:rPr>
        <w:t xml:space="preserve"> w</w:t>
      </w:r>
      <w:r w:rsidR="00630194" w:rsidRPr="00424C43">
        <w:rPr>
          <w:rFonts w:eastAsia="Calibri"/>
        </w:rPr>
        <w:t>ere</w:t>
      </w:r>
      <w:r w:rsidR="00731366" w:rsidRPr="00424C43">
        <w:rPr>
          <w:rFonts w:eastAsia="Calibri"/>
        </w:rPr>
        <w:t xml:space="preserve"> </w:t>
      </w:r>
      <w:r w:rsidR="000D2E64" w:rsidRPr="00424C43">
        <w:rPr>
          <w:rFonts w:eastAsia="Calibri"/>
        </w:rPr>
        <w:t xml:space="preserve">not </w:t>
      </w:r>
      <w:r w:rsidR="00991CD9" w:rsidRPr="00424C43">
        <w:rPr>
          <w:rFonts w:eastAsia="Calibri"/>
        </w:rPr>
        <w:t>undertaken</w:t>
      </w:r>
      <w:r w:rsidR="00B50F1E" w:rsidRPr="00424C43">
        <w:rPr>
          <w:rFonts w:eastAsia="Calibri"/>
        </w:rPr>
        <w:t>.</w:t>
      </w:r>
      <w:r w:rsidR="00AD7E8F" w:rsidRPr="00424C43">
        <w:rPr>
          <w:rFonts w:eastAsia="Calibri"/>
        </w:rPr>
        <w:t xml:space="preserve">  </w:t>
      </w:r>
      <w:r w:rsidR="00AD7E8F" w:rsidRPr="002E74AB">
        <w:rPr>
          <w:rFonts w:eastAsia="Calibri"/>
        </w:rPr>
        <w:t xml:space="preserve">In terms of the key performance indicators, </w:t>
      </w:r>
      <w:r w:rsidR="007C31B5" w:rsidRPr="002E74AB">
        <w:rPr>
          <w:rFonts w:eastAsia="Calibri"/>
        </w:rPr>
        <w:t xml:space="preserve">all </w:t>
      </w:r>
      <w:r w:rsidR="00726313" w:rsidRPr="002E74AB">
        <w:rPr>
          <w:rFonts w:eastAsia="Calibri"/>
        </w:rPr>
        <w:t>5</w:t>
      </w:r>
      <w:r w:rsidR="009F7C1D" w:rsidRPr="002E74AB">
        <w:rPr>
          <w:rFonts w:eastAsia="Calibri"/>
        </w:rPr>
        <w:t xml:space="preserve"> </w:t>
      </w:r>
      <w:r w:rsidR="00AD7E8F" w:rsidRPr="002E74AB">
        <w:rPr>
          <w:rFonts w:eastAsia="Calibri"/>
        </w:rPr>
        <w:t xml:space="preserve">were </w:t>
      </w:r>
      <w:r w:rsidR="00073A41" w:rsidRPr="002E74AB">
        <w:rPr>
          <w:rFonts w:eastAsia="Calibri"/>
        </w:rPr>
        <w:t>ac</w:t>
      </w:r>
      <w:bookmarkEnd w:id="0"/>
      <w:r w:rsidR="007C31B5" w:rsidRPr="002E74AB">
        <w:rPr>
          <w:rFonts w:eastAsia="Calibri"/>
        </w:rPr>
        <w:t>hieved</w:t>
      </w:r>
      <w:r w:rsidR="00731366" w:rsidRPr="002E74AB">
        <w:rPr>
          <w:rFonts w:eastAsia="Calibri"/>
        </w:rPr>
        <w:t>.</w:t>
      </w:r>
      <w:r w:rsidR="009F7C1D" w:rsidRPr="002E74AB">
        <w:rPr>
          <w:rFonts w:eastAsia="Calibri"/>
        </w:rPr>
        <w:t xml:space="preserve"> </w:t>
      </w:r>
    </w:p>
    <w:p w14:paraId="4591B9E7" w14:textId="77777777" w:rsidR="00F0044D" w:rsidRPr="00F36F13" w:rsidRDefault="00EF7582" w:rsidP="00EF7582">
      <w:pPr>
        <w:tabs>
          <w:tab w:val="left" w:pos="4335"/>
        </w:tabs>
        <w:rPr>
          <w:b/>
          <w:color w:val="FF0000"/>
        </w:rPr>
      </w:pPr>
      <w:r w:rsidRPr="00F36F13">
        <w:rPr>
          <w:b/>
          <w:color w:val="FF0000"/>
        </w:rPr>
        <w:tab/>
      </w:r>
    </w:p>
    <w:p w14:paraId="0295A8B7" w14:textId="77777777" w:rsidR="00F0044D" w:rsidRPr="00F36F13" w:rsidRDefault="00404DDF" w:rsidP="00404DDF">
      <w:pPr>
        <w:tabs>
          <w:tab w:val="left" w:pos="3986"/>
        </w:tabs>
        <w:rPr>
          <w:b/>
          <w:color w:val="FF0000"/>
        </w:rPr>
      </w:pPr>
      <w:r>
        <w:rPr>
          <w:b/>
          <w:color w:val="FF0000"/>
        </w:rPr>
        <w:tab/>
      </w:r>
    </w:p>
    <w:tbl>
      <w:tblPr>
        <w:tblW w:w="10490" w:type="dxa"/>
        <w:tblInd w:w="-34" w:type="dxa"/>
        <w:tblLayout w:type="fixed"/>
        <w:tblLook w:val="0000" w:firstRow="0" w:lastRow="0" w:firstColumn="0" w:lastColumn="0" w:noHBand="0" w:noVBand="0"/>
      </w:tblPr>
      <w:tblGrid>
        <w:gridCol w:w="576"/>
        <w:gridCol w:w="3961"/>
        <w:gridCol w:w="5953"/>
      </w:tblGrid>
      <w:tr w:rsidR="00523EDC" w:rsidRPr="00380629" w14:paraId="49C8151A" w14:textId="77777777" w:rsidTr="00523EDC">
        <w:trPr>
          <w:trHeight w:val="332"/>
        </w:trPr>
        <w:tc>
          <w:tcPr>
            <w:tcW w:w="10490" w:type="dxa"/>
            <w:gridSpan w:val="3"/>
            <w:tcBorders>
              <w:top w:val="single" w:sz="4" w:space="0" w:color="auto"/>
              <w:left w:val="single" w:sz="4" w:space="0" w:color="auto"/>
              <w:bottom w:val="single" w:sz="4" w:space="0" w:color="auto"/>
              <w:right w:val="single" w:sz="4" w:space="0" w:color="auto"/>
            </w:tcBorders>
            <w:shd w:val="clear" w:color="auto" w:fill="17365D"/>
          </w:tcPr>
          <w:p w14:paraId="42762722" w14:textId="06341933" w:rsidR="00523EDC" w:rsidRPr="00523EDC" w:rsidRDefault="00523EDC" w:rsidP="00397D5B">
            <w:pPr>
              <w:jc w:val="center"/>
              <w:rPr>
                <w:sz w:val="32"/>
                <w:szCs w:val="32"/>
                <w:lang w:val="en-US"/>
              </w:rPr>
            </w:pPr>
            <w:r w:rsidRPr="00523EDC">
              <w:rPr>
                <w:sz w:val="32"/>
                <w:szCs w:val="32"/>
                <w:lang w:val="en-US"/>
              </w:rPr>
              <w:t>Key Outputs at</w:t>
            </w:r>
            <w:r w:rsidR="00EE42AB">
              <w:rPr>
                <w:sz w:val="32"/>
                <w:szCs w:val="32"/>
                <w:lang w:val="en-US"/>
              </w:rPr>
              <w:t xml:space="preserve"> </w:t>
            </w:r>
            <w:r w:rsidRPr="00523EDC">
              <w:rPr>
                <w:sz w:val="32"/>
                <w:szCs w:val="32"/>
                <w:lang w:val="en-US"/>
              </w:rPr>
              <w:t>Yea</w:t>
            </w:r>
            <w:r>
              <w:rPr>
                <w:sz w:val="32"/>
                <w:szCs w:val="32"/>
                <w:lang w:val="en-US"/>
              </w:rPr>
              <w:t>r</w:t>
            </w:r>
            <w:r w:rsidR="00EE42AB">
              <w:rPr>
                <w:sz w:val="32"/>
                <w:szCs w:val="32"/>
                <w:lang w:val="en-US"/>
              </w:rPr>
              <w:t xml:space="preserve"> end</w:t>
            </w:r>
            <w:r w:rsidR="005A5058">
              <w:rPr>
                <w:sz w:val="32"/>
                <w:szCs w:val="32"/>
                <w:lang w:val="en-US"/>
              </w:rPr>
              <w:t xml:space="preserve"> </w:t>
            </w:r>
          </w:p>
        </w:tc>
      </w:tr>
      <w:tr w:rsidR="0017605D" w:rsidRPr="00380629" w14:paraId="511B03C1" w14:textId="77777777" w:rsidTr="00523EDC">
        <w:trPr>
          <w:trHeight w:val="239"/>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1BDE5772" w14:textId="77777777" w:rsidR="0017605D" w:rsidRDefault="0017605D" w:rsidP="007816FE">
            <w:pPr>
              <w:rPr>
                <w:b/>
                <w:bCs/>
                <w:sz w:val="20"/>
                <w:szCs w:val="20"/>
                <w:lang w:val="en-US"/>
              </w:rPr>
            </w:pPr>
          </w:p>
        </w:tc>
        <w:tc>
          <w:tcPr>
            <w:tcW w:w="3961"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3BCD7174" w14:textId="77777777" w:rsidR="0017605D" w:rsidRPr="00397D5B" w:rsidRDefault="0017605D" w:rsidP="00523EDC">
            <w:pPr>
              <w:rPr>
                <w:b/>
                <w:bCs/>
                <w:sz w:val="20"/>
                <w:szCs w:val="20"/>
                <w:lang w:val="en-US"/>
              </w:rPr>
            </w:pPr>
            <w:r w:rsidRPr="00397D5B">
              <w:rPr>
                <w:b/>
                <w:bCs/>
                <w:sz w:val="20"/>
                <w:szCs w:val="20"/>
                <w:lang w:val="en-US"/>
              </w:rPr>
              <w:t>Fraud work stream</w:t>
            </w:r>
          </w:p>
        </w:tc>
        <w:tc>
          <w:tcPr>
            <w:tcW w:w="5953" w:type="dxa"/>
            <w:tcBorders>
              <w:top w:val="single" w:sz="4" w:space="0" w:color="auto"/>
              <w:left w:val="nil"/>
              <w:bottom w:val="single" w:sz="4" w:space="0" w:color="auto"/>
              <w:right w:val="single" w:sz="4" w:space="0" w:color="auto"/>
            </w:tcBorders>
            <w:shd w:val="clear" w:color="auto" w:fill="17365D"/>
            <w:vAlign w:val="center"/>
          </w:tcPr>
          <w:p w14:paraId="53863C17" w14:textId="77777777" w:rsidR="00397D5B" w:rsidRDefault="00397D5B" w:rsidP="008937A7">
            <w:pPr>
              <w:rPr>
                <w:b/>
                <w:bCs/>
                <w:sz w:val="20"/>
                <w:szCs w:val="20"/>
                <w:lang w:val="en-US"/>
              </w:rPr>
            </w:pPr>
          </w:p>
          <w:p w14:paraId="5FBC2D19" w14:textId="77777777" w:rsidR="00397D5B" w:rsidRPr="00397D5B" w:rsidRDefault="00523EDC" w:rsidP="008937A7">
            <w:pPr>
              <w:rPr>
                <w:b/>
                <w:bCs/>
                <w:sz w:val="20"/>
                <w:szCs w:val="20"/>
                <w:lang w:val="en-US"/>
              </w:rPr>
            </w:pPr>
            <w:r w:rsidRPr="00397D5B">
              <w:rPr>
                <w:b/>
                <w:bCs/>
                <w:sz w:val="20"/>
                <w:szCs w:val="20"/>
                <w:lang w:val="en-US"/>
              </w:rPr>
              <w:t>Detail</w:t>
            </w:r>
          </w:p>
        </w:tc>
      </w:tr>
      <w:tr w:rsidR="0017605D" w:rsidRPr="0075312F" w14:paraId="04D1FDF0" w14:textId="77777777" w:rsidTr="002D554F">
        <w:trPr>
          <w:trHeight w:val="251"/>
        </w:trPr>
        <w:tc>
          <w:tcPr>
            <w:tcW w:w="576" w:type="dxa"/>
            <w:tcBorders>
              <w:top w:val="single" w:sz="4" w:space="0" w:color="auto"/>
              <w:left w:val="single" w:sz="4" w:space="0" w:color="auto"/>
              <w:bottom w:val="single" w:sz="4" w:space="0" w:color="auto"/>
              <w:right w:val="single" w:sz="4" w:space="0" w:color="auto"/>
            </w:tcBorders>
          </w:tcPr>
          <w:p w14:paraId="146BDDA1" w14:textId="77777777" w:rsidR="0017605D" w:rsidRDefault="0017605D" w:rsidP="007816FE">
            <w:pPr>
              <w:rPr>
                <w:sz w:val="20"/>
                <w:szCs w:val="20"/>
                <w:lang w:val="en-US"/>
              </w:rPr>
            </w:pPr>
            <w:r>
              <w:rPr>
                <w:sz w:val="20"/>
                <w:szCs w:val="20"/>
                <w:lang w:val="en-US"/>
              </w:rPr>
              <w:t>1</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09222D27" w14:textId="77777777" w:rsidR="0017605D" w:rsidRPr="007C6042" w:rsidRDefault="0017605D" w:rsidP="00313433">
            <w:pPr>
              <w:rPr>
                <w:b/>
                <w:sz w:val="20"/>
                <w:szCs w:val="20"/>
                <w:lang w:val="en-US"/>
              </w:rPr>
            </w:pPr>
            <w:r w:rsidRPr="007C6042">
              <w:rPr>
                <w:b/>
                <w:sz w:val="20"/>
                <w:szCs w:val="20"/>
                <w:lang w:val="en-US"/>
              </w:rPr>
              <w:t>Corporate fraud risk assessment</w:t>
            </w:r>
          </w:p>
          <w:p w14:paraId="7F2AE577" w14:textId="77777777" w:rsidR="0017605D" w:rsidRPr="007C6042" w:rsidRDefault="0017605D" w:rsidP="00313433">
            <w:pPr>
              <w:rPr>
                <w:b/>
                <w:sz w:val="20"/>
                <w:szCs w:val="20"/>
                <w:lang w:val="en-US"/>
              </w:rPr>
            </w:pPr>
          </w:p>
          <w:p w14:paraId="2CFCEB77" w14:textId="77777777" w:rsidR="00076F29" w:rsidRDefault="00076F29" w:rsidP="00076F29">
            <w:pPr>
              <w:pStyle w:val="Default"/>
              <w:rPr>
                <w:sz w:val="20"/>
                <w:szCs w:val="20"/>
              </w:rPr>
            </w:pPr>
            <w:r>
              <w:rPr>
                <w:sz w:val="20"/>
                <w:szCs w:val="20"/>
              </w:rPr>
              <w:t xml:space="preserve">Identify and assess Harrow’s fraud risk exposure affecting the </w:t>
            </w:r>
            <w:proofErr w:type="gramStart"/>
            <w:r>
              <w:rPr>
                <w:sz w:val="20"/>
                <w:szCs w:val="20"/>
              </w:rPr>
              <w:t>principle</w:t>
            </w:r>
            <w:proofErr w:type="gramEnd"/>
            <w:r>
              <w:rPr>
                <w:sz w:val="20"/>
                <w:szCs w:val="20"/>
              </w:rPr>
              <w:t xml:space="preserve"> activities in order to fully understand changing patterns in fraud and corruption threats and the potential harmful consequences to the authority and our customers </w:t>
            </w:r>
          </w:p>
          <w:p w14:paraId="6671704B" w14:textId="77777777" w:rsidR="0017605D" w:rsidRPr="007C6042" w:rsidRDefault="0017605D" w:rsidP="00583DB3">
            <w:pPr>
              <w:rPr>
                <w:b/>
                <w:sz w:val="20"/>
                <w:szCs w:val="20"/>
                <w:lang w:val="en-US"/>
              </w:rPr>
            </w:pPr>
          </w:p>
        </w:tc>
        <w:tc>
          <w:tcPr>
            <w:tcW w:w="5953" w:type="dxa"/>
            <w:tcBorders>
              <w:top w:val="single" w:sz="4" w:space="0" w:color="auto"/>
              <w:left w:val="nil"/>
              <w:bottom w:val="single" w:sz="4" w:space="0" w:color="auto"/>
              <w:right w:val="single" w:sz="4" w:space="0" w:color="auto"/>
            </w:tcBorders>
            <w:shd w:val="clear" w:color="auto" w:fill="auto"/>
          </w:tcPr>
          <w:p w14:paraId="28EDECED" w14:textId="4234F6C6" w:rsidR="0017605D" w:rsidRDefault="00930342" w:rsidP="005A6791">
            <w:pPr>
              <w:rPr>
                <w:rFonts w:cs="Times New Roman"/>
                <w:b/>
                <w:sz w:val="20"/>
                <w:szCs w:val="20"/>
              </w:rPr>
            </w:pPr>
            <w:r>
              <w:rPr>
                <w:rFonts w:cs="Times New Roman"/>
                <w:b/>
                <w:sz w:val="20"/>
                <w:szCs w:val="20"/>
              </w:rPr>
              <w:t xml:space="preserve">Objective </w:t>
            </w:r>
            <w:r w:rsidR="00157B3A">
              <w:rPr>
                <w:rFonts w:cs="Times New Roman"/>
                <w:b/>
                <w:sz w:val="20"/>
                <w:szCs w:val="20"/>
              </w:rPr>
              <w:t>achieved</w:t>
            </w:r>
          </w:p>
          <w:p w14:paraId="0C509817" w14:textId="7C0229A8" w:rsidR="00CA6ED9" w:rsidRPr="001B46F3" w:rsidRDefault="00157B3A" w:rsidP="00D91B20">
            <w:pPr>
              <w:spacing w:after="160" w:line="259" w:lineRule="auto"/>
              <w:contextualSpacing/>
            </w:pPr>
            <w:r w:rsidRPr="00D91B20">
              <w:rPr>
                <w:rFonts w:cs="Times New Roman"/>
                <w:sz w:val="20"/>
                <w:szCs w:val="20"/>
              </w:rPr>
              <w:t xml:space="preserve">A fraud risk assessment was a carried out to develop the </w:t>
            </w:r>
            <w:r w:rsidR="00FC7319" w:rsidRPr="00D91B20">
              <w:rPr>
                <w:rFonts w:cs="Times New Roman"/>
                <w:sz w:val="20"/>
                <w:szCs w:val="20"/>
              </w:rPr>
              <w:t xml:space="preserve">fraud </w:t>
            </w:r>
            <w:r w:rsidRPr="00D91B20">
              <w:rPr>
                <w:rFonts w:cs="Times New Roman"/>
                <w:sz w:val="20"/>
                <w:szCs w:val="20"/>
              </w:rPr>
              <w:t>plan for 202</w:t>
            </w:r>
            <w:r w:rsidR="00A10037">
              <w:rPr>
                <w:rFonts w:cs="Times New Roman"/>
                <w:sz w:val="20"/>
                <w:szCs w:val="20"/>
              </w:rPr>
              <w:t>1</w:t>
            </w:r>
            <w:r w:rsidRPr="00D91B20">
              <w:rPr>
                <w:rFonts w:cs="Times New Roman"/>
                <w:sz w:val="20"/>
                <w:szCs w:val="20"/>
              </w:rPr>
              <w:t>/2</w:t>
            </w:r>
            <w:r w:rsidR="00A10037">
              <w:rPr>
                <w:rFonts w:cs="Times New Roman"/>
                <w:sz w:val="20"/>
                <w:szCs w:val="20"/>
              </w:rPr>
              <w:t>2</w:t>
            </w:r>
            <w:r w:rsidR="002A18DF" w:rsidRPr="00D91B20">
              <w:rPr>
                <w:rFonts w:cs="Times New Roman"/>
                <w:sz w:val="20"/>
                <w:szCs w:val="20"/>
              </w:rPr>
              <w:t xml:space="preserve">.  </w:t>
            </w:r>
            <w:r w:rsidR="00CA6ED9" w:rsidRPr="00D91B20">
              <w:rPr>
                <w:rFonts w:cs="Times New Roman"/>
                <w:sz w:val="20"/>
                <w:szCs w:val="20"/>
              </w:rPr>
              <w:t>This was developed drawing on a number of sources of information including:-</w:t>
            </w:r>
          </w:p>
          <w:p w14:paraId="2ADA67C8" w14:textId="738D8AD6" w:rsidR="00CA6ED9" w:rsidRPr="001B46F3" w:rsidRDefault="00CA6ED9" w:rsidP="00165D78">
            <w:pPr>
              <w:pStyle w:val="ListParagraph"/>
              <w:numPr>
                <w:ilvl w:val="1"/>
                <w:numId w:val="4"/>
              </w:numPr>
              <w:spacing w:after="160" w:line="259" w:lineRule="auto"/>
              <w:contextualSpacing/>
              <w:rPr>
                <w:sz w:val="20"/>
                <w:szCs w:val="20"/>
              </w:rPr>
            </w:pPr>
            <w:r w:rsidRPr="001B46F3">
              <w:rPr>
                <w:sz w:val="20"/>
                <w:szCs w:val="20"/>
              </w:rPr>
              <w:t xml:space="preserve">Fighting Fraud &amp; Corruption Locally 2020 (FFCL); a strategy for the 2020’s; </w:t>
            </w:r>
          </w:p>
          <w:p w14:paraId="337171AB" w14:textId="298F10C9" w:rsidR="00CA6ED9" w:rsidRPr="001B46F3" w:rsidRDefault="00CA6ED9" w:rsidP="00165D78">
            <w:pPr>
              <w:pStyle w:val="ListParagraph"/>
              <w:numPr>
                <w:ilvl w:val="1"/>
                <w:numId w:val="4"/>
              </w:numPr>
              <w:spacing w:after="160" w:line="259" w:lineRule="auto"/>
              <w:contextualSpacing/>
              <w:rPr>
                <w:sz w:val="20"/>
                <w:szCs w:val="20"/>
              </w:rPr>
            </w:pPr>
            <w:r w:rsidRPr="001B46F3">
              <w:rPr>
                <w:sz w:val="20"/>
                <w:szCs w:val="20"/>
              </w:rPr>
              <w:t xml:space="preserve">Local knowledge and intelligence about known fraud risks the authority faces and fraud cases identified during 2020-21 and previous years; </w:t>
            </w:r>
          </w:p>
          <w:p w14:paraId="7083AC9C" w14:textId="10B7FEE5" w:rsidR="000636A8" w:rsidRPr="001B46F3" w:rsidRDefault="000636A8" w:rsidP="00165D78">
            <w:pPr>
              <w:pStyle w:val="ListParagraph"/>
              <w:numPr>
                <w:ilvl w:val="1"/>
                <w:numId w:val="4"/>
              </w:numPr>
              <w:spacing w:after="160" w:line="259" w:lineRule="auto"/>
              <w:contextualSpacing/>
              <w:rPr>
                <w:sz w:val="20"/>
                <w:szCs w:val="20"/>
              </w:rPr>
            </w:pPr>
            <w:r w:rsidRPr="001B46F3">
              <w:rPr>
                <w:sz w:val="20"/>
                <w:szCs w:val="20"/>
              </w:rPr>
              <w:t>Regular discussions with the Head of Internal Audit and Interim Risk Manager to co-ordinate common interest work where possible;</w:t>
            </w:r>
          </w:p>
          <w:p w14:paraId="06E4DE26" w14:textId="77777777" w:rsidR="00CA6ED9" w:rsidRPr="001B46F3" w:rsidRDefault="00CA6ED9" w:rsidP="00165D78">
            <w:pPr>
              <w:pStyle w:val="ListParagraph"/>
              <w:numPr>
                <w:ilvl w:val="1"/>
                <w:numId w:val="4"/>
              </w:numPr>
              <w:spacing w:after="160" w:line="259" w:lineRule="auto"/>
              <w:contextualSpacing/>
              <w:rPr>
                <w:sz w:val="20"/>
                <w:szCs w:val="20"/>
              </w:rPr>
            </w:pPr>
            <w:r w:rsidRPr="001B46F3">
              <w:rPr>
                <w:sz w:val="20"/>
                <w:szCs w:val="20"/>
              </w:rPr>
              <w:t xml:space="preserve">Review of fraud and corruption trends and patterns across the UK and more specifically London. </w:t>
            </w:r>
          </w:p>
          <w:p w14:paraId="152B1626" w14:textId="6F08D134" w:rsidR="00CA6ED9" w:rsidRPr="001B46F3" w:rsidRDefault="00CA6ED9" w:rsidP="00165D78">
            <w:pPr>
              <w:pStyle w:val="ListParagraph"/>
              <w:numPr>
                <w:ilvl w:val="1"/>
                <w:numId w:val="4"/>
              </w:numPr>
              <w:spacing w:after="160" w:line="259" w:lineRule="auto"/>
              <w:contextualSpacing/>
              <w:rPr>
                <w:sz w:val="20"/>
                <w:szCs w:val="20"/>
              </w:rPr>
            </w:pPr>
            <w:r w:rsidRPr="001B46F3">
              <w:rPr>
                <w:sz w:val="20"/>
                <w:szCs w:val="20"/>
              </w:rPr>
              <w:t xml:space="preserve">Weekly </w:t>
            </w:r>
            <w:proofErr w:type="spellStart"/>
            <w:r w:rsidRPr="001B46F3">
              <w:rPr>
                <w:sz w:val="20"/>
                <w:szCs w:val="20"/>
              </w:rPr>
              <w:t>Cifas</w:t>
            </w:r>
            <w:proofErr w:type="spellEnd"/>
            <w:r w:rsidRPr="001B46F3">
              <w:rPr>
                <w:sz w:val="20"/>
                <w:szCs w:val="20"/>
              </w:rPr>
              <w:t xml:space="preserve"> Intelligence bulletins on Covid-19</w:t>
            </w:r>
            <w:r w:rsidR="000636A8" w:rsidRPr="001B46F3">
              <w:rPr>
                <w:sz w:val="20"/>
                <w:szCs w:val="20"/>
              </w:rPr>
              <w:t>;</w:t>
            </w:r>
            <w:r w:rsidRPr="001B46F3">
              <w:rPr>
                <w:sz w:val="20"/>
                <w:szCs w:val="20"/>
              </w:rPr>
              <w:t xml:space="preserve"> fraud risks, attendance at quarterly </w:t>
            </w:r>
            <w:proofErr w:type="spellStart"/>
            <w:r w:rsidRPr="001B46F3">
              <w:rPr>
                <w:sz w:val="20"/>
                <w:szCs w:val="20"/>
              </w:rPr>
              <w:t>Cifas</w:t>
            </w:r>
            <w:proofErr w:type="spellEnd"/>
            <w:r w:rsidRPr="001B46F3">
              <w:rPr>
                <w:sz w:val="20"/>
                <w:szCs w:val="20"/>
              </w:rPr>
              <w:t xml:space="preserve"> Local Authority Business Sector Working Group meetings and quarterly </w:t>
            </w:r>
            <w:proofErr w:type="spellStart"/>
            <w:r w:rsidRPr="001B46F3">
              <w:rPr>
                <w:sz w:val="20"/>
                <w:szCs w:val="20"/>
              </w:rPr>
              <w:t>Cifas</w:t>
            </w:r>
            <w:proofErr w:type="spellEnd"/>
            <w:r w:rsidRPr="001B46F3">
              <w:rPr>
                <w:sz w:val="20"/>
                <w:szCs w:val="20"/>
              </w:rPr>
              <w:t xml:space="preserve"> Organised Fraud Cross Sector Meetings</w:t>
            </w:r>
            <w:r w:rsidR="000636A8" w:rsidRPr="001B46F3">
              <w:rPr>
                <w:sz w:val="20"/>
                <w:szCs w:val="20"/>
              </w:rPr>
              <w:t>;</w:t>
            </w:r>
          </w:p>
          <w:p w14:paraId="5C9C67AC" w14:textId="404EB219" w:rsidR="00CA6ED9" w:rsidRPr="001B46F3" w:rsidRDefault="00CA6ED9" w:rsidP="00165D78">
            <w:pPr>
              <w:pStyle w:val="ListParagraph"/>
              <w:numPr>
                <w:ilvl w:val="1"/>
                <w:numId w:val="4"/>
              </w:numPr>
              <w:spacing w:after="160" w:line="259" w:lineRule="auto"/>
              <w:contextualSpacing/>
              <w:rPr>
                <w:sz w:val="20"/>
                <w:szCs w:val="20"/>
              </w:rPr>
            </w:pPr>
            <w:r w:rsidRPr="001B46F3">
              <w:rPr>
                <w:sz w:val="20"/>
                <w:szCs w:val="20"/>
              </w:rPr>
              <w:t xml:space="preserve">Regular NAFN bulletins received citing known fraud risks </w:t>
            </w:r>
            <w:proofErr w:type="gramStart"/>
            <w:r w:rsidRPr="001B46F3">
              <w:rPr>
                <w:sz w:val="20"/>
                <w:szCs w:val="20"/>
              </w:rPr>
              <w:t>that members</w:t>
            </w:r>
            <w:proofErr w:type="gramEnd"/>
            <w:r w:rsidRPr="001B46F3">
              <w:rPr>
                <w:sz w:val="20"/>
                <w:szCs w:val="20"/>
              </w:rPr>
              <w:t xml:space="preserve"> had been exposed to</w:t>
            </w:r>
            <w:r w:rsidR="000636A8" w:rsidRPr="001B46F3">
              <w:rPr>
                <w:sz w:val="20"/>
                <w:szCs w:val="20"/>
              </w:rPr>
              <w:t>;</w:t>
            </w:r>
          </w:p>
          <w:p w14:paraId="4AA7075B" w14:textId="36B5D70B" w:rsidR="007535FF" w:rsidRPr="009C5836" w:rsidRDefault="00CA6ED9" w:rsidP="005A6791">
            <w:pPr>
              <w:pStyle w:val="ListParagraph"/>
              <w:numPr>
                <w:ilvl w:val="1"/>
                <w:numId w:val="4"/>
              </w:numPr>
              <w:spacing w:after="160" w:line="259" w:lineRule="auto"/>
              <w:contextualSpacing/>
              <w:rPr>
                <w:sz w:val="20"/>
                <w:szCs w:val="20"/>
              </w:rPr>
            </w:pPr>
            <w:r w:rsidRPr="001B46F3">
              <w:rPr>
                <w:sz w:val="20"/>
                <w:szCs w:val="20"/>
              </w:rPr>
              <w:t>Cabinet Office National Fraud Initiative (NFI) bulletins</w:t>
            </w:r>
            <w:r w:rsidR="000636A8" w:rsidRPr="001B46F3">
              <w:rPr>
                <w:sz w:val="20"/>
                <w:szCs w:val="20"/>
              </w:rPr>
              <w:t xml:space="preserve"> with updates on </w:t>
            </w:r>
            <w:proofErr w:type="gramStart"/>
            <w:r w:rsidR="000636A8" w:rsidRPr="001B46F3">
              <w:rPr>
                <w:sz w:val="20"/>
                <w:szCs w:val="20"/>
              </w:rPr>
              <w:t>high risk</w:t>
            </w:r>
            <w:proofErr w:type="gramEnd"/>
            <w:r w:rsidR="000636A8" w:rsidRPr="001B46F3">
              <w:rPr>
                <w:sz w:val="20"/>
                <w:szCs w:val="20"/>
              </w:rPr>
              <w:t xml:space="preserve"> fraud areas</w:t>
            </w:r>
            <w:r w:rsidRPr="001B46F3">
              <w:rPr>
                <w:sz w:val="20"/>
                <w:szCs w:val="20"/>
              </w:rPr>
              <w:t xml:space="preserve">  </w:t>
            </w:r>
          </w:p>
        </w:tc>
      </w:tr>
      <w:tr w:rsidR="0069329D" w:rsidRPr="0017605D" w14:paraId="27D4600E" w14:textId="77777777" w:rsidTr="002D554F">
        <w:trPr>
          <w:trHeight w:val="251"/>
        </w:trPr>
        <w:tc>
          <w:tcPr>
            <w:tcW w:w="576" w:type="dxa"/>
            <w:tcBorders>
              <w:top w:val="single" w:sz="4" w:space="0" w:color="auto"/>
              <w:left w:val="single" w:sz="4" w:space="0" w:color="auto"/>
              <w:bottom w:val="single" w:sz="4" w:space="0" w:color="auto"/>
              <w:right w:val="single" w:sz="4" w:space="0" w:color="auto"/>
            </w:tcBorders>
          </w:tcPr>
          <w:p w14:paraId="158D84C1" w14:textId="3124A534" w:rsidR="0069329D" w:rsidRDefault="00FD1D1E" w:rsidP="004E23DA">
            <w:pPr>
              <w:rPr>
                <w:sz w:val="20"/>
                <w:szCs w:val="20"/>
                <w:lang w:val="en-US"/>
              </w:rPr>
            </w:pPr>
            <w:r>
              <w:rPr>
                <w:sz w:val="20"/>
                <w:szCs w:val="20"/>
                <w:lang w:val="en-US"/>
              </w:rPr>
              <w:t>2</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712A9C5A" w14:textId="77777777" w:rsidR="0069329D" w:rsidRPr="0017605D" w:rsidRDefault="0069329D" w:rsidP="004E23DA">
            <w:pPr>
              <w:rPr>
                <w:b/>
                <w:sz w:val="20"/>
                <w:szCs w:val="20"/>
                <w:lang w:val="en-US"/>
              </w:rPr>
            </w:pPr>
            <w:r w:rsidRPr="0017605D">
              <w:rPr>
                <w:b/>
                <w:sz w:val="20"/>
                <w:szCs w:val="20"/>
                <w:lang w:val="en-US"/>
              </w:rPr>
              <w:t>Corporate Anti-Fraud &amp; Corruption Strategy</w:t>
            </w:r>
          </w:p>
          <w:p w14:paraId="0ABD2A66" w14:textId="77777777" w:rsidR="0069329D" w:rsidRPr="0017605D" w:rsidRDefault="0069329D" w:rsidP="004E23DA">
            <w:pPr>
              <w:rPr>
                <w:b/>
                <w:sz w:val="20"/>
                <w:szCs w:val="20"/>
                <w:lang w:val="en-US"/>
              </w:rPr>
            </w:pPr>
          </w:p>
          <w:p w14:paraId="1EE6B8C2" w14:textId="77777777" w:rsidR="00CA3513" w:rsidRDefault="00CA3513" w:rsidP="00CA3513">
            <w:pPr>
              <w:pStyle w:val="Default"/>
              <w:rPr>
                <w:sz w:val="20"/>
                <w:szCs w:val="20"/>
              </w:rPr>
            </w:pPr>
            <w:r>
              <w:rPr>
                <w:sz w:val="20"/>
                <w:szCs w:val="20"/>
              </w:rPr>
              <w:t xml:space="preserve">Review the authorities’ Corporate Anti-Fraud &amp; Corruption Strategy in light of the </w:t>
            </w:r>
            <w:r>
              <w:rPr>
                <w:sz w:val="20"/>
                <w:szCs w:val="20"/>
              </w:rPr>
              <w:lastRenderedPageBreak/>
              <w:t xml:space="preserve">refreshed Fighting Fraud and Corruption Locally Strategy 2020 and implement any actions identified to improve the authorities’ fraud risk resilience </w:t>
            </w:r>
          </w:p>
          <w:p w14:paraId="16104EB8" w14:textId="32CBE3B9" w:rsidR="0069329D" w:rsidRPr="0017605D" w:rsidRDefault="0069329D" w:rsidP="00456664">
            <w:pPr>
              <w:rPr>
                <w:b/>
                <w:sz w:val="20"/>
                <w:szCs w:val="20"/>
                <w:lang w:val="en-U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AA89D26" w14:textId="696D57FF" w:rsidR="0069329D" w:rsidRPr="008D38C6" w:rsidRDefault="00930342" w:rsidP="004E23DA">
            <w:pPr>
              <w:rPr>
                <w:rFonts w:cs="Times New Roman"/>
                <w:b/>
                <w:sz w:val="20"/>
                <w:szCs w:val="20"/>
              </w:rPr>
            </w:pPr>
            <w:r>
              <w:rPr>
                <w:rFonts w:cs="Times New Roman"/>
                <w:b/>
                <w:sz w:val="20"/>
                <w:szCs w:val="20"/>
              </w:rPr>
              <w:lastRenderedPageBreak/>
              <w:t xml:space="preserve">Objective </w:t>
            </w:r>
            <w:r w:rsidR="00157B3A">
              <w:rPr>
                <w:rFonts w:cs="Times New Roman"/>
                <w:b/>
                <w:sz w:val="20"/>
                <w:szCs w:val="20"/>
              </w:rPr>
              <w:t>not achieved</w:t>
            </w:r>
            <w:r w:rsidR="008D38C6" w:rsidRPr="008D38C6">
              <w:rPr>
                <w:rFonts w:cs="Times New Roman"/>
                <w:b/>
                <w:sz w:val="20"/>
                <w:szCs w:val="20"/>
              </w:rPr>
              <w:t xml:space="preserve"> </w:t>
            </w:r>
          </w:p>
          <w:p w14:paraId="73598274" w14:textId="0C826E38" w:rsidR="00FC3BB2" w:rsidRPr="00020748" w:rsidRDefault="00C071AA" w:rsidP="00112413">
            <w:pPr>
              <w:pStyle w:val="CommentText"/>
              <w:rPr>
                <w:rFonts w:cs="Times New Roman"/>
              </w:rPr>
            </w:pPr>
            <w:r w:rsidRPr="00020748">
              <w:rPr>
                <w:rFonts w:cs="Times New Roman"/>
              </w:rPr>
              <w:t xml:space="preserve">The strategy was not reviewed </w:t>
            </w:r>
            <w:r w:rsidR="00A21447" w:rsidRPr="00020748">
              <w:rPr>
                <w:rFonts w:cs="Times New Roman"/>
              </w:rPr>
              <w:t xml:space="preserve">and </w:t>
            </w:r>
            <w:r w:rsidR="00436A29" w:rsidRPr="00020748">
              <w:rPr>
                <w:rFonts w:cs="Times New Roman"/>
              </w:rPr>
              <w:t>refreshed</w:t>
            </w:r>
            <w:r w:rsidR="00A21447" w:rsidRPr="00020748">
              <w:rPr>
                <w:rFonts w:cs="Times New Roman"/>
              </w:rPr>
              <w:t xml:space="preserve"> </w:t>
            </w:r>
            <w:r w:rsidR="007C352D" w:rsidRPr="00020748">
              <w:rPr>
                <w:rFonts w:cs="Times New Roman"/>
              </w:rPr>
              <w:t>due to resources</w:t>
            </w:r>
            <w:r w:rsidR="00436A29" w:rsidRPr="00020748">
              <w:rPr>
                <w:rFonts w:cs="Times New Roman"/>
              </w:rPr>
              <w:t xml:space="preserve"> being</w:t>
            </w:r>
            <w:r w:rsidR="007C352D" w:rsidRPr="00020748">
              <w:rPr>
                <w:rFonts w:cs="Times New Roman"/>
              </w:rPr>
              <w:t xml:space="preserve"> diverted to a significant </w:t>
            </w:r>
            <w:r w:rsidR="00414944" w:rsidRPr="00020748">
              <w:rPr>
                <w:rFonts w:cs="Times New Roman"/>
              </w:rPr>
              <w:t>governance gap</w:t>
            </w:r>
            <w:r w:rsidR="00FC3BB2" w:rsidRPr="00020748">
              <w:rPr>
                <w:rFonts w:cs="Times New Roman"/>
              </w:rPr>
              <w:t xml:space="preserve"> </w:t>
            </w:r>
            <w:r w:rsidR="00436A29" w:rsidRPr="00020748">
              <w:rPr>
                <w:rFonts w:cs="Times New Roman"/>
              </w:rPr>
              <w:t xml:space="preserve">identified </w:t>
            </w:r>
            <w:r w:rsidR="00A54AE3" w:rsidRPr="00020748">
              <w:rPr>
                <w:rFonts w:cs="Times New Roman"/>
              </w:rPr>
              <w:t>mid</w:t>
            </w:r>
            <w:r w:rsidR="00715692" w:rsidRPr="00020748">
              <w:rPr>
                <w:rFonts w:cs="Times New Roman"/>
              </w:rPr>
              <w:t>-</w:t>
            </w:r>
            <w:r w:rsidR="00A54AE3" w:rsidRPr="00020748">
              <w:rPr>
                <w:rFonts w:cs="Times New Roman"/>
              </w:rPr>
              <w:t xml:space="preserve">year.  </w:t>
            </w:r>
            <w:r w:rsidR="00AD567E" w:rsidRPr="00020748">
              <w:rPr>
                <w:rFonts w:cs="Times New Roman"/>
              </w:rPr>
              <w:t>The strategy will be reviewed in 22/23</w:t>
            </w:r>
            <w:r w:rsidR="001D5874" w:rsidRPr="00020748">
              <w:rPr>
                <w:rFonts w:cs="Times New Roman"/>
              </w:rPr>
              <w:t xml:space="preserve"> and an action plan</w:t>
            </w:r>
            <w:r w:rsidR="00FC3BB2" w:rsidRPr="00020748">
              <w:rPr>
                <w:rFonts w:cs="Times New Roman"/>
              </w:rPr>
              <w:t xml:space="preserve"> </w:t>
            </w:r>
            <w:r w:rsidR="001D5874" w:rsidRPr="00020748">
              <w:rPr>
                <w:rFonts w:cs="Times New Roman"/>
              </w:rPr>
              <w:t xml:space="preserve"> drafted to </w:t>
            </w:r>
            <w:r w:rsidR="009F140C" w:rsidRPr="00020748">
              <w:rPr>
                <w:rFonts w:cs="Times New Roman"/>
              </w:rPr>
              <w:t>close any fraud risk gaps identified</w:t>
            </w:r>
            <w:r w:rsidR="00715692" w:rsidRPr="00020748">
              <w:rPr>
                <w:rFonts w:cs="Times New Roman"/>
              </w:rPr>
              <w:t>.</w:t>
            </w:r>
            <w:r w:rsidR="009F140C" w:rsidRPr="00020748">
              <w:rPr>
                <w:rFonts w:cs="Times New Roman"/>
              </w:rPr>
              <w:t xml:space="preserve"> </w:t>
            </w:r>
          </w:p>
          <w:p w14:paraId="01A1660B" w14:textId="626E75D5" w:rsidR="00A90C65" w:rsidRPr="00930342" w:rsidRDefault="00A90C65" w:rsidP="00112413">
            <w:pPr>
              <w:pStyle w:val="CommentText"/>
              <w:rPr>
                <w:rFonts w:cs="Times New Roman"/>
              </w:rPr>
            </w:pPr>
          </w:p>
        </w:tc>
      </w:tr>
    </w:tbl>
    <w:p w14:paraId="1975CB70" w14:textId="77777777" w:rsidR="008C4269" w:rsidRDefault="008C4269">
      <w:r>
        <w:lastRenderedPageBreak/>
        <w:br w:type="page"/>
      </w:r>
    </w:p>
    <w:tbl>
      <w:tblPr>
        <w:tblW w:w="10632" w:type="dxa"/>
        <w:tblInd w:w="-34" w:type="dxa"/>
        <w:tblLayout w:type="fixed"/>
        <w:tblLook w:val="0000" w:firstRow="0" w:lastRow="0" w:firstColumn="0" w:lastColumn="0" w:noHBand="0" w:noVBand="0"/>
      </w:tblPr>
      <w:tblGrid>
        <w:gridCol w:w="576"/>
        <w:gridCol w:w="3961"/>
        <w:gridCol w:w="6095"/>
      </w:tblGrid>
      <w:tr w:rsidR="0017605D" w:rsidRPr="00380629" w14:paraId="00F2435A" w14:textId="77777777" w:rsidTr="00B70289">
        <w:trPr>
          <w:trHeight w:val="282"/>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570A3834" w14:textId="77777777" w:rsidR="0017605D" w:rsidRDefault="0017605D" w:rsidP="00D67E75">
            <w:pPr>
              <w:rPr>
                <w:b/>
                <w:bCs/>
                <w:sz w:val="20"/>
                <w:szCs w:val="20"/>
                <w:lang w:val="en-US"/>
              </w:rPr>
            </w:pPr>
          </w:p>
        </w:tc>
        <w:tc>
          <w:tcPr>
            <w:tcW w:w="3961"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3E1B010A" w14:textId="77777777" w:rsidR="0017605D" w:rsidRPr="001E0720" w:rsidRDefault="0017605D" w:rsidP="00523EDC">
            <w:pPr>
              <w:rPr>
                <w:b/>
                <w:bCs/>
                <w:sz w:val="20"/>
                <w:szCs w:val="20"/>
                <w:lang w:val="en-US"/>
              </w:rPr>
            </w:pPr>
            <w:r w:rsidRPr="001E0720">
              <w:rPr>
                <w:b/>
                <w:bCs/>
                <w:sz w:val="20"/>
                <w:szCs w:val="20"/>
                <w:lang w:val="en-US"/>
              </w:rPr>
              <w:t>Fraud work stream</w:t>
            </w:r>
          </w:p>
        </w:tc>
        <w:tc>
          <w:tcPr>
            <w:tcW w:w="6095" w:type="dxa"/>
            <w:tcBorders>
              <w:top w:val="single" w:sz="4" w:space="0" w:color="auto"/>
              <w:left w:val="nil"/>
              <w:bottom w:val="single" w:sz="4" w:space="0" w:color="auto"/>
              <w:right w:val="single" w:sz="4" w:space="0" w:color="auto"/>
            </w:tcBorders>
            <w:shd w:val="clear" w:color="auto" w:fill="17365D"/>
            <w:vAlign w:val="center"/>
          </w:tcPr>
          <w:p w14:paraId="2D03AC35" w14:textId="77777777" w:rsidR="0017605D" w:rsidRPr="001E0720" w:rsidRDefault="00523EDC" w:rsidP="00D67E75">
            <w:pPr>
              <w:rPr>
                <w:b/>
                <w:bCs/>
                <w:sz w:val="20"/>
                <w:szCs w:val="20"/>
                <w:lang w:val="en-US"/>
              </w:rPr>
            </w:pPr>
            <w:r w:rsidRPr="001E0720">
              <w:rPr>
                <w:b/>
                <w:bCs/>
                <w:sz w:val="20"/>
                <w:szCs w:val="20"/>
                <w:lang w:val="en-US"/>
              </w:rPr>
              <w:t>Detail</w:t>
            </w:r>
          </w:p>
        </w:tc>
      </w:tr>
      <w:tr w:rsidR="0017605D" w:rsidRPr="0075312F" w14:paraId="1ECB4457" w14:textId="77777777" w:rsidTr="00B70289">
        <w:trPr>
          <w:trHeight w:val="251"/>
        </w:trPr>
        <w:tc>
          <w:tcPr>
            <w:tcW w:w="576" w:type="dxa"/>
            <w:tcBorders>
              <w:top w:val="single" w:sz="4" w:space="0" w:color="auto"/>
              <w:left w:val="single" w:sz="4" w:space="0" w:color="auto"/>
              <w:bottom w:val="single" w:sz="4" w:space="0" w:color="auto"/>
              <w:right w:val="single" w:sz="4" w:space="0" w:color="auto"/>
            </w:tcBorders>
          </w:tcPr>
          <w:p w14:paraId="690E7BDB" w14:textId="4154B012" w:rsidR="0017605D" w:rsidRDefault="00FD1D1E" w:rsidP="007816FE">
            <w:pPr>
              <w:rPr>
                <w:sz w:val="20"/>
                <w:szCs w:val="20"/>
                <w:lang w:val="en-US"/>
              </w:rPr>
            </w:pPr>
            <w:r>
              <w:rPr>
                <w:sz w:val="20"/>
                <w:szCs w:val="20"/>
                <w:lang w:val="en-US"/>
              </w:rPr>
              <w:t>3</w:t>
            </w:r>
            <w:r w:rsidR="0017605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5F8F2660" w14:textId="77777777" w:rsidR="00AB5C1E" w:rsidRPr="00204535" w:rsidRDefault="00AB5C1E" w:rsidP="00AB5C1E">
            <w:pPr>
              <w:pStyle w:val="Default"/>
              <w:rPr>
                <w:b/>
                <w:bCs/>
                <w:sz w:val="20"/>
                <w:szCs w:val="20"/>
              </w:rPr>
            </w:pPr>
            <w:r w:rsidRPr="00204535">
              <w:rPr>
                <w:b/>
                <w:bCs/>
                <w:sz w:val="20"/>
                <w:szCs w:val="20"/>
              </w:rPr>
              <w:t xml:space="preserve">Review the fraud loss value methodology </w:t>
            </w:r>
          </w:p>
          <w:p w14:paraId="3653C065" w14:textId="77777777" w:rsidR="0017605D" w:rsidRPr="007C6042" w:rsidRDefault="0017605D" w:rsidP="00B008B3">
            <w:pPr>
              <w:rPr>
                <w:b/>
                <w:sz w:val="20"/>
                <w:szCs w:val="20"/>
                <w:lang w:val="en-US"/>
              </w:rPr>
            </w:pPr>
          </w:p>
          <w:p w14:paraId="4518A440" w14:textId="77777777" w:rsidR="00815655" w:rsidRDefault="00815655" w:rsidP="00815655">
            <w:pPr>
              <w:pStyle w:val="Default"/>
              <w:rPr>
                <w:sz w:val="20"/>
                <w:szCs w:val="20"/>
              </w:rPr>
            </w:pPr>
            <w:r>
              <w:rPr>
                <w:sz w:val="20"/>
                <w:szCs w:val="20"/>
              </w:rPr>
              <w:t xml:space="preserve">Review the fraud loss value methodology to apply consistently to significant fraud risk exposures enabling fraud losses to be measured accurately and in line with established standard nationwide formula and best practice </w:t>
            </w:r>
          </w:p>
          <w:p w14:paraId="584C7E0B" w14:textId="77777777" w:rsidR="0017605D" w:rsidRPr="007C6042" w:rsidRDefault="0017605D" w:rsidP="0050042B">
            <w:pPr>
              <w:tabs>
                <w:tab w:val="left" w:pos="3569"/>
              </w:tabs>
              <w:rPr>
                <w:b/>
                <w:sz w:val="20"/>
                <w:szCs w:val="20"/>
                <w:lang w:val="en-US"/>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98C4AC9" w14:textId="17575934" w:rsidR="0017605D" w:rsidRDefault="00462E8F" w:rsidP="007A1912">
            <w:pPr>
              <w:rPr>
                <w:b/>
                <w:color w:val="000000"/>
                <w:sz w:val="20"/>
                <w:szCs w:val="20"/>
                <w:lang w:val="en-US"/>
              </w:rPr>
            </w:pPr>
            <w:r>
              <w:rPr>
                <w:b/>
                <w:color w:val="000000"/>
                <w:sz w:val="20"/>
                <w:szCs w:val="20"/>
                <w:lang w:val="en-US"/>
              </w:rPr>
              <w:t xml:space="preserve">Objective </w:t>
            </w:r>
            <w:r w:rsidR="00A90C65">
              <w:rPr>
                <w:b/>
                <w:color w:val="000000"/>
                <w:sz w:val="20"/>
                <w:szCs w:val="20"/>
                <w:lang w:val="en-US"/>
              </w:rPr>
              <w:t>achieved</w:t>
            </w:r>
          </w:p>
          <w:p w14:paraId="661DABE0" w14:textId="77777777" w:rsidR="00456664" w:rsidRDefault="00456664" w:rsidP="007A1912">
            <w:pPr>
              <w:rPr>
                <w:b/>
                <w:color w:val="000000"/>
                <w:sz w:val="20"/>
                <w:szCs w:val="20"/>
                <w:lang w:val="en-US"/>
              </w:rPr>
            </w:pPr>
          </w:p>
          <w:p w14:paraId="0D88762A" w14:textId="77777777" w:rsidR="0017605D" w:rsidRPr="0036329D" w:rsidRDefault="0017605D" w:rsidP="007A1912">
            <w:pPr>
              <w:rPr>
                <w:color w:val="000000"/>
                <w:sz w:val="20"/>
                <w:szCs w:val="20"/>
                <w:lang w:val="en-US"/>
              </w:rPr>
            </w:pPr>
          </w:p>
          <w:p w14:paraId="4729F2C3" w14:textId="58A1B48E" w:rsidR="0017605D" w:rsidRPr="007C6042" w:rsidRDefault="00FF698B" w:rsidP="007A1912">
            <w:pPr>
              <w:rPr>
                <w:sz w:val="20"/>
                <w:szCs w:val="20"/>
                <w:lang w:val="en-US"/>
              </w:rPr>
            </w:pPr>
            <w:r>
              <w:rPr>
                <w:sz w:val="20"/>
                <w:szCs w:val="20"/>
                <w:lang w:val="en-US"/>
              </w:rPr>
              <w:t xml:space="preserve">The fraud loss methodology </w:t>
            </w:r>
            <w:r w:rsidR="00BD2491">
              <w:rPr>
                <w:sz w:val="20"/>
                <w:szCs w:val="20"/>
                <w:lang w:val="en-US"/>
              </w:rPr>
              <w:t xml:space="preserve">underwent a light touch </w:t>
            </w:r>
            <w:proofErr w:type="gramStart"/>
            <w:r w:rsidR="00BD2491">
              <w:rPr>
                <w:sz w:val="20"/>
                <w:szCs w:val="20"/>
                <w:lang w:val="en-US"/>
              </w:rPr>
              <w:t>review</w:t>
            </w:r>
            <w:proofErr w:type="gramEnd"/>
            <w:r w:rsidR="00BD2491">
              <w:rPr>
                <w:sz w:val="20"/>
                <w:szCs w:val="20"/>
                <w:lang w:val="en-US"/>
              </w:rPr>
              <w:t xml:space="preserve"> </w:t>
            </w:r>
            <w:r w:rsidR="00C70228">
              <w:rPr>
                <w:sz w:val="20"/>
                <w:szCs w:val="20"/>
                <w:lang w:val="en-US"/>
              </w:rPr>
              <w:t>and no changes were made</w:t>
            </w:r>
            <w:r w:rsidR="005E4647">
              <w:rPr>
                <w:sz w:val="20"/>
                <w:szCs w:val="20"/>
                <w:lang w:val="en-US"/>
              </w:rPr>
              <w:t>.</w:t>
            </w:r>
            <w:r w:rsidR="00C70228">
              <w:rPr>
                <w:sz w:val="20"/>
                <w:szCs w:val="20"/>
                <w:lang w:val="en-US"/>
              </w:rPr>
              <w:t xml:space="preserve"> </w:t>
            </w:r>
          </w:p>
          <w:p w14:paraId="2F5303F3" w14:textId="77777777" w:rsidR="0017605D" w:rsidRPr="007C6042" w:rsidRDefault="0017605D" w:rsidP="007A1912">
            <w:pPr>
              <w:rPr>
                <w:sz w:val="20"/>
                <w:szCs w:val="20"/>
                <w:lang w:val="en-US"/>
              </w:rPr>
            </w:pPr>
          </w:p>
        </w:tc>
      </w:tr>
      <w:tr w:rsidR="0069329D" w:rsidRPr="00A72B60" w14:paraId="526FC11C" w14:textId="77777777" w:rsidTr="000B55AE">
        <w:trPr>
          <w:trHeight w:val="5474"/>
        </w:trPr>
        <w:tc>
          <w:tcPr>
            <w:tcW w:w="576" w:type="dxa"/>
            <w:tcBorders>
              <w:top w:val="single" w:sz="4" w:space="0" w:color="auto"/>
              <w:left w:val="single" w:sz="4" w:space="0" w:color="auto"/>
              <w:bottom w:val="single" w:sz="4" w:space="0" w:color="auto"/>
              <w:right w:val="single" w:sz="4" w:space="0" w:color="auto"/>
            </w:tcBorders>
          </w:tcPr>
          <w:p w14:paraId="770986E2" w14:textId="5F61EDA2" w:rsidR="0069329D" w:rsidRPr="0075312F" w:rsidRDefault="00FD1D1E" w:rsidP="004E23DA">
            <w:pPr>
              <w:rPr>
                <w:sz w:val="20"/>
                <w:szCs w:val="20"/>
                <w:lang w:val="en-US"/>
              </w:rPr>
            </w:pPr>
            <w:r>
              <w:rPr>
                <w:sz w:val="20"/>
                <w:szCs w:val="20"/>
                <w:lang w:val="en-US"/>
              </w:rPr>
              <w:t>4</w:t>
            </w:r>
            <w:r w:rsidR="0069329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43887EAB" w14:textId="77777777" w:rsidR="0069329D" w:rsidRPr="00342C71" w:rsidRDefault="0069329D" w:rsidP="004E23DA">
            <w:pPr>
              <w:rPr>
                <w:b/>
                <w:sz w:val="20"/>
                <w:szCs w:val="20"/>
                <w:lang w:val="en-US"/>
              </w:rPr>
            </w:pPr>
            <w:r w:rsidRPr="00342C71">
              <w:rPr>
                <w:b/>
                <w:sz w:val="20"/>
                <w:szCs w:val="20"/>
                <w:lang w:val="en-US"/>
              </w:rPr>
              <w:t>National Fraud Initiative co-ordination role</w:t>
            </w:r>
          </w:p>
          <w:p w14:paraId="0AF701BA" w14:textId="77777777" w:rsidR="00ED5F09" w:rsidRDefault="00ED5F09" w:rsidP="00ED5F09">
            <w:pPr>
              <w:pStyle w:val="Default"/>
              <w:rPr>
                <w:sz w:val="20"/>
                <w:szCs w:val="20"/>
              </w:rPr>
            </w:pPr>
          </w:p>
          <w:p w14:paraId="38334C89" w14:textId="77777777" w:rsidR="00ED5F09" w:rsidRDefault="008C43FB" w:rsidP="00ED5F09">
            <w:pPr>
              <w:pStyle w:val="Default"/>
              <w:rPr>
                <w:sz w:val="20"/>
                <w:szCs w:val="20"/>
              </w:rPr>
            </w:pPr>
            <w:r>
              <w:rPr>
                <w:sz w:val="20"/>
                <w:szCs w:val="20"/>
              </w:rPr>
              <w:t>Co-ordination of the 2020/21 National Fraud Initiative (NFI) match processing including:-</w:t>
            </w:r>
          </w:p>
          <w:p w14:paraId="16CC0019" w14:textId="410A0374" w:rsidR="008C43FB" w:rsidRDefault="008C43FB" w:rsidP="00ED5F09">
            <w:pPr>
              <w:pStyle w:val="Default"/>
              <w:rPr>
                <w:sz w:val="20"/>
                <w:szCs w:val="20"/>
              </w:rPr>
            </w:pPr>
            <w:r>
              <w:rPr>
                <w:sz w:val="20"/>
                <w:szCs w:val="20"/>
              </w:rPr>
              <w:t xml:space="preserve"> </w:t>
            </w:r>
          </w:p>
          <w:p w14:paraId="2B2C6A8B" w14:textId="26A6B94C" w:rsidR="008C43FB" w:rsidRDefault="008C43FB" w:rsidP="00165D78">
            <w:pPr>
              <w:pStyle w:val="Default"/>
              <w:numPr>
                <w:ilvl w:val="0"/>
                <w:numId w:val="8"/>
              </w:numPr>
              <w:rPr>
                <w:sz w:val="20"/>
                <w:szCs w:val="20"/>
              </w:rPr>
            </w:pPr>
            <w:r>
              <w:rPr>
                <w:sz w:val="20"/>
                <w:szCs w:val="20"/>
              </w:rPr>
              <w:t xml:space="preserve">Processing matches which are the responsibility of the CAFT </w:t>
            </w:r>
          </w:p>
          <w:p w14:paraId="62001775" w14:textId="543CA444" w:rsidR="008C43FB" w:rsidRDefault="008C43FB" w:rsidP="008C43FB">
            <w:pPr>
              <w:pStyle w:val="Default"/>
              <w:rPr>
                <w:sz w:val="20"/>
                <w:szCs w:val="20"/>
              </w:rPr>
            </w:pPr>
          </w:p>
          <w:p w14:paraId="3576A630" w14:textId="77777777" w:rsidR="00DB38DA" w:rsidRDefault="00DB38DA" w:rsidP="008C43FB">
            <w:pPr>
              <w:pStyle w:val="Default"/>
              <w:rPr>
                <w:sz w:val="20"/>
                <w:szCs w:val="20"/>
              </w:rPr>
            </w:pPr>
          </w:p>
          <w:p w14:paraId="3890CFDA" w14:textId="5FF1CC35" w:rsidR="008C43FB" w:rsidRDefault="008C43FB" w:rsidP="00165D78">
            <w:pPr>
              <w:pStyle w:val="Default"/>
              <w:numPr>
                <w:ilvl w:val="0"/>
                <w:numId w:val="8"/>
              </w:numPr>
              <w:rPr>
                <w:sz w:val="20"/>
                <w:szCs w:val="20"/>
              </w:rPr>
            </w:pPr>
            <w:r>
              <w:rPr>
                <w:sz w:val="20"/>
                <w:szCs w:val="20"/>
              </w:rPr>
              <w:t xml:space="preserve">Supporting service areas across the authority to ensure their matches are processed in a timely manner and that suspected fraud/error is investigated appropriately </w:t>
            </w:r>
          </w:p>
          <w:p w14:paraId="2682AAB3" w14:textId="77777777" w:rsidR="008C43FB" w:rsidRDefault="008C43FB" w:rsidP="008C43FB">
            <w:pPr>
              <w:pStyle w:val="Default"/>
              <w:rPr>
                <w:sz w:val="20"/>
                <w:szCs w:val="20"/>
              </w:rPr>
            </w:pPr>
          </w:p>
          <w:p w14:paraId="4DABED9F" w14:textId="26FC26AE" w:rsidR="007D1C20" w:rsidRPr="00233C67" w:rsidRDefault="008C43FB" w:rsidP="00165D78">
            <w:pPr>
              <w:pStyle w:val="Default"/>
              <w:numPr>
                <w:ilvl w:val="0"/>
                <w:numId w:val="8"/>
              </w:numPr>
              <w:rPr>
                <w:sz w:val="20"/>
                <w:szCs w:val="20"/>
              </w:rPr>
            </w:pPr>
            <w:r>
              <w:rPr>
                <w:sz w:val="20"/>
                <w:szCs w:val="20"/>
              </w:rPr>
              <w:t xml:space="preserve">Process fraud referrals passed to the CAFT from other teams and from outside of the authority in line with team performance indicators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7C7C2DA" w14:textId="3448A414" w:rsidR="00357D9C" w:rsidRPr="00030519" w:rsidRDefault="00106716" w:rsidP="004E23DA">
            <w:pPr>
              <w:rPr>
                <w:b/>
                <w:color w:val="000000"/>
                <w:sz w:val="20"/>
                <w:szCs w:val="20"/>
                <w:lang w:val="en-US"/>
              </w:rPr>
            </w:pPr>
            <w:r>
              <w:rPr>
                <w:b/>
                <w:color w:val="000000"/>
                <w:sz w:val="20"/>
                <w:szCs w:val="20"/>
                <w:lang w:val="en-US"/>
              </w:rPr>
              <w:t>Objective</w:t>
            </w:r>
            <w:r w:rsidR="00FE0E6E">
              <w:rPr>
                <w:b/>
                <w:color w:val="000000"/>
                <w:sz w:val="20"/>
                <w:szCs w:val="20"/>
                <w:lang w:val="en-US"/>
              </w:rPr>
              <w:t xml:space="preserve"> </w:t>
            </w:r>
            <w:r w:rsidR="008F099F">
              <w:rPr>
                <w:b/>
                <w:color w:val="000000"/>
                <w:sz w:val="20"/>
                <w:szCs w:val="20"/>
                <w:lang w:val="en-US"/>
              </w:rPr>
              <w:t>achieved</w:t>
            </w:r>
            <w:r w:rsidR="00F20CA2">
              <w:rPr>
                <w:b/>
                <w:color w:val="000000"/>
                <w:sz w:val="20"/>
                <w:szCs w:val="20"/>
                <w:lang w:val="en-US"/>
              </w:rPr>
              <w:t xml:space="preserve"> </w:t>
            </w:r>
          </w:p>
          <w:tbl>
            <w:tblPr>
              <w:tblW w:w="9864" w:type="dxa"/>
              <w:tblLayout w:type="fixed"/>
              <w:tblLook w:val="04A0" w:firstRow="1" w:lastRow="0" w:firstColumn="1" w:lastColumn="0" w:noHBand="0" w:noVBand="1"/>
            </w:tblPr>
            <w:tblGrid>
              <w:gridCol w:w="5703"/>
              <w:gridCol w:w="4161"/>
            </w:tblGrid>
            <w:tr w:rsidR="0069329D" w:rsidRPr="00D67E75" w14:paraId="350D6AFA" w14:textId="77777777" w:rsidTr="00203B8A">
              <w:tc>
                <w:tcPr>
                  <w:tcW w:w="5703" w:type="dxa"/>
                  <w:shd w:val="clear" w:color="auto" w:fill="auto"/>
                </w:tcPr>
                <w:p w14:paraId="258B1A16" w14:textId="77777777" w:rsidR="00553CAE" w:rsidRDefault="00553CAE" w:rsidP="00431029">
                  <w:pPr>
                    <w:rPr>
                      <w:sz w:val="20"/>
                      <w:szCs w:val="20"/>
                    </w:rPr>
                  </w:pPr>
                </w:p>
                <w:p w14:paraId="3C14FB5A" w14:textId="77777777" w:rsidR="00A45A68" w:rsidRDefault="00A45A68" w:rsidP="00431029">
                  <w:pPr>
                    <w:rPr>
                      <w:sz w:val="20"/>
                      <w:szCs w:val="20"/>
                    </w:rPr>
                  </w:pPr>
                </w:p>
                <w:p w14:paraId="4AC5EFDF" w14:textId="77777777" w:rsidR="00F20CA2" w:rsidRDefault="00F20CA2" w:rsidP="00431029">
                  <w:pPr>
                    <w:rPr>
                      <w:sz w:val="20"/>
                      <w:szCs w:val="20"/>
                    </w:rPr>
                  </w:pPr>
                </w:p>
                <w:p w14:paraId="03CFB6C4" w14:textId="77777777" w:rsidR="00F20CA2" w:rsidRDefault="00F20CA2" w:rsidP="00431029">
                  <w:pPr>
                    <w:rPr>
                      <w:sz w:val="20"/>
                      <w:szCs w:val="20"/>
                    </w:rPr>
                  </w:pPr>
                </w:p>
                <w:p w14:paraId="569E36C4" w14:textId="77777777" w:rsidR="00F20CA2" w:rsidRDefault="00F20CA2" w:rsidP="00431029">
                  <w:pPr>
                    <w:rPr>
                      <w:sz w:val="20"/>
                      <w:szCs w:val="20"/>
                    </w:rPr>
                  </w:pPr>
                </w:p>
                <w:p w14:paraId="58B509DF" w14:textId="77777777" w:rsidR="00F20CA2" w:rsidRDefault="00F20CA2" w:rsidP="00431029">
                  <w:pPr>
                    <w:rPr>
                      <w:sz w:val="20"/>
                      <w:szCs w:val="20"/>
                    </w:rPr>
                  </w:pPr>
                </w:p>
                <w:p w14:paraId="21A5B989" w14:textId="02CB0CC6" w:rsidR="00F20CA2" w:rsidRPr="00431029" w:rsidRDefault="005E49BB" w:rsidP="00431029">
                  <w:pPr>
                    <w:rPr>
                      <w:sz w:val="20"/>
                      <w:szCs w:val="20"/>
                    </w:rPr>
                  </w:pPr>
                  <w:r>
                    <w:rPr>
                      <w:sz w:val="20"/>
                      <w:szCs w:val="20"/>
                    </w:rPr>
                    <w:t xml:space="preserve">All </w:t>
                  </w:r>
                  <w:r w:rsidR="006F4CB5">
                    <w:rPr>
                      <w:sz w:val="20"/>
                      <w:szCs w:val="20"/>
                    </w:rPr>
                    <w:t xml:space="preserve">high risk </w:t>
                  </w:r>
                  <w:r>
                    <w:rPr>
                      <w:sz w:val="20"/>
                      <w:szCs w:val="20"/>
                    </w:rPr>
                    <w:t xml:space="preserve">matches </w:t>
                  </w:r>
                  <w:r w:rsidR="00707FEA">
                    <w:rPr>
                      <w:sz w:val="20"/>
                      <w:szCs w:val="20"/>
                    </w:rPr>
                    <w:t xml:space="preserve">where the </w:t>
                  </w:r>
                  <w:r w:rsidR="006F4CB5">
                    <w:rPr>
                      <w:sz w:val="20"/>
                      <w:szCs w:val="20"/>
                    </w:rPr>
                    <w:t xml:space="preserve">CAFT </w:t>
                  </w:r>
                  <w:r w:rsidR="00871B38">
                    <w:rPr>
                      <w:sz w:val="20"/>
                      <w:szCs w:val="20"/>
                    </w:rPr>
                    <w:t>h</w:t>
                  </w:r>
                  <w:r w:rsidR="00707FEA">
                    <w:rPr>
                      <w:sz w:val="20"/>
                      <w:szCs w:val="20"/>
                    </w:rPr>
                    <w:t xml:space="preserve">ad responsibility </w:t>
                  </w:r>
                  <w:r w:rsidR="006F4CB5">
                    <w:rPr>
                      <w:sz w:val="20"/>
                      <w:szCs w:val="20"/>
                    </w:rPr>
                    <w:t>have been processed</w:t>
                  </w:r>
                  <w:r w:rsidR="00025785">
                    <w:rPr>
                      <w:sz w:val="20"/>
                      <w:szCs w:val="20"/>
                    </w:rPr>
                    <w:t xml:space="preserve"> and any positive outcomes regist</w:t>
                  </w:r>
                  <w:r w:rsidR="00656AAF">
                    <w:rPr>
                      <w:sz w:val="20"/>
                      <w:szCs w:val="20"/>
                    </w:rPr>
                    <w:t>e</w:t>
                  </w:r>
                  <w:r w:rsidR="00025785">
                    <w:rPr>
                      <w:sz w:val="20"/>
                      <w:szCs w:val="20"/>
                    </w:rPr>
                    <w:t>red on the NFI website</w:t>
                  </w:r>
                  <w:r w:rsidR="00B26313">
                    <w:rPr>
                      <w:sz w:val="20"/>
                      <w:szCs w:val="20"/>
                    </w:rPr>
                    <w:t>.</w:t>
                  </w:r>
                  <w:r w:rsidR="00656AAF">
                    <w:rPr>
                      <w:sz w:val="20"/>
                      <w:szCs w:val="20"/>
                    </w:rPr>
                    <w:t xml:space="preserve">  </w:t>
                  </w:r>
                </w:p>
              </w:tc>
              <w:tc>
                <w:tcPr>
                  <w:tcW w:w="4161" w:type="dxa"/>
                  <w:shd w:val="clear" w:color="auto" w:fill="auto"/>
                </w:tcPr>
                <w:p w14:paraId="6DCB8DD7" w14:textId="77777777" w:rsidR="0069329D" w:rsidRPr="00D67E75" w:rsidRDefault="0069329D" w:rsidP="004E23DA">
                  <w:pPr>
                    <w:rPr>
                      <w:sz w:val="20"/>
                      <w:szCs w:val="20"/>
                    </w:rPr>
                  </w:pPr>
                </w:p>
              </w:tc>
            </w:tr>
            <w:tr w:rsidR="0069329D" w:rsidRPr="00D67E75" w14:paraId="46CC4FD8" w14:textId="77777777" w:rsidTr="00203B8A">
              <w:tc>
                <w:tcPr>
                  <w:tcW w:w="5703" w:type="dxa"/>
                  <w:shd w:val="clear" w:color="auto" w:fill="auto"/>
                </w:tcPr>
                <w:p w14:paraId="5ECDD069" w14:textId="77777777" w:rsidR="0069329D" w:rsidRPr="00D67E75" w:rsidRDefault="0069329D" w:rsidP="004E23DA">
                  <w:pPr>
                    <w:rPr>
                      <w:sz w:val="20"/>
                      <w:szCs w:val="20"/>
                    </w:rPr>
                  </w:pPr>
                </w:p>
              </w:tc>
              <w:tc>
                <w:tcPr>
                  <w:tcW w:w="4161" w:type="dxa"/>
                  <w:shd w:val="clear" w:color="auto" w:fill="auto"/>
                </w:tcPr>
                <w:p w14:paraId="18C132F3" w14:textId="77777777" w:rsidR="0069329D" w:rsidRPr="00D67E75" w:rsidRDefault="0069329D" w:rsidP="004E23DA">
                  <w:pPr>
                    <w:rPr>
                      <w:sz w:val="20"/>
                      <w:szCs w:val="20"/>
                    </w:rPr>
                  </w:pPr>
                </w:p>
              </w:tc>
            </w:tr>
            <w:tr w:rsidR="0069329D" w:rsidRPr="00D67E75" w14:paraId="647E4044" w14:textId="77777777" w:rsidTr="00505743">
              <w:tc>
                <w:tcPr>
                  <w:tcW w:w="5703" w:type="dxa"/>
                  <w:shd w:val="clear" w:color="auto" w:fill="auto"/>
                </w:tcPr>
                <w:p w14:paraId="126F012A" w14:textId="77777777" w:rsidR="00255BE3" w:rsidRDefault="00CE28F8" w:rsidP="004E23DA">
                  <w:pPr>
                    <w:rPr>
                      <w:sz w:val="20"/>
                      <w:szCs w:val="20"/>
                    </w:rPr>
                  </w:pPr>
                  <w:r>
                    <w:rPr>
                      <w:sz w:val="20"/>
                      <w:szCs w:val="20"/>
                    </w:rPr>
                    <w:t xml:space="preserve">CAFT has </w:t>
                  </w:r>
                  <w:r w:rsidR="00782341">
                    <w:rPr>
                      <w:sz w:val="20"/>
                      <w:szCs w:val="20"/>
                    </w:rPr>
                    <w:t>liaised with all service areas responsible for processing matches and provided</w:t>
                  </w:r>
                  <w:r w:rsidR="00692F44">
                    <w:rPr>
                      <w:sz w:val="20"/>
                      <w:szCs w:val="20"/>
                    </w:rPr>
                    <w:t xml:space="preserve"> more detailed support for those requiring it.</w:t>
                  </w:r>
                </w:p>
                <w:p w14:paraId="70123CAC" w14:textId="77777777" w:rsidR="00255BE3" w:rsidRDefault="00255BE3" w:rsidP="004E23DA">
                  <w:pPr>
                    <w:rPr>
                      <w:sz w:val="20"/>
                      <w:szCs w:val="20"/>
                    </w:rPr>
                  </w:pPr>
                </w:p>
                <w:p w14:paraId="6F195FE5" w14:textId="77777777" w:rsidR="00255BE3" w:rsidRDefault="00255BE3" w:rsidP="004E23DA">
                  <w:pPr>
                    <w:rPr>
                      <w:sz w:val="20"/>
                      <w:szCs w:val="20"/>
                    </w:rPr>
                  </w:pPr>
                </w:p>
                <w:p w14:paraId="540E4A4D" w14:textId="77777777" w:rsidR="00255BE3" w:rsidRDefault="00255BE3" w:rsidP="004E23DA">
                  <w:pPr>
                    <w:rPr>
                      <w:sz w:val="20"/>
                      <w:szCs w:val="20"/>
                    </w:rPr>
                  </w:pPr>
                </w:p>
                <w:p w14:paraId="53C6D7DB" w14:textId="77777777" w:rsidR="00DB38DA" w:rsidRDefault="00DB38DA" w:rsidP="004E23DA">
                  <w:pPr>
                    <w:rPr>
                      <w:sz w:val="20"/>
                      <w:szCs w:val="20"/>
                    </w:rPr>
                  </w:pPr>
                </w:p>
                <w:p w14:paraId="271FFAD2" w14:textId="7BEE3508" w:rsidR="00533120" w:rsidRPr="00D67E75" w:rsidRDefault="004406A3" w:rsidP="00A308AB">
                  <w:pPr>
                    <w:rPr>
                      <w:sz w:val="20"/>
                      <w:szCs w:val="20"/>
                    </w:rPr>
                  </w:pPr>
                  <w:r>
                    <w:rPr>
                      <w:sz w:val="20"/>
                      <w:szCs w:val="20"/>
                    </w:rPr>
                    <w:t>Two</w:t>
                  </w:r>
                  <w:r w:rsidR="00414504">
                    <w:rPr>
                      <w:sz w:val="20"/>
                      <w:szCs w:val="20"/>
                    </w:rPr>
                    <w:t xml:space="preserve"> referrals </w:t>
                  </w:r>
                  <w:r>
                    <w:rPr>
                      <w:sz w:val="20"/>
                      <w:szCs w:val="20"/>
                    </w:rPr>
                    <w:t xml:space="preserve">were passed </w:t>
                  </w:r>
                  <w:r w:rsidR="00414504">
                    <w:rPr>
                      <w:sz w:val="20"/>
                      <w:szCs w:val="20"/>
                    </w:rPr>
                    <w:t>to the CAFT</w:t>
                  </w:r>
                  <w:r>
                    <w:rPr>
                      <w:sz w:val="20"/>
                      <w:szCs w:val="20"/>
                    </w:rPr>
                    <w:t>,</w:t>
                  </w:r>
                  <w:r w:rsidR="00414504">
                    <w:rPr>
                      <w:sz w:val="20"/>
                      <w:szCs w:val="20"/>
                    </w:rPr>
                    <w:t xml:space="preserve"> both </w:t>
                  </w:r>
                  <w:r w:rsidR="00A834FF">
                    <w:rPr>
                      <w:sz w:val="20"/>
                      <w:szCs w:val="20"/>
                    </w:rPr>
                    <w:t xml:space="preserve">were risk assessed </w:t>
                  </w:r>
                  <w:r w:rsidR="001073C2">
                    <w:rPr>
                      <w:sz w:val="20"/>
                      <w:szCs w:val="20"/>
                    </w:rPr>
                    <w:t xml:space="preserve">and resourced deployed </w:t>
                  </w:r>
                  <w:r w:rsidR="00A834FF">
                    <w:rPr>
                      <w:sz w:val="20"/>
                      <w:szCs w:val="20"/>
                    </w:rPr>
                    <w:t xml:space="preserve">within </w:t>
                  </w:r>
                  <w:r w:rsidR="001073C2">
                    <w:rPr>
                      <w:sz w:val="20"/>
                      <w:szCs w:val="20"/>
                    </w:rPr>
                    <w:t>10 working days (KPI)</w:t>
                  </w:r>
                  <w:r w:rsidR="0026702F">
                    <w:rPr>
                      <w:sz w:val="20"/>
                      <w:szCs w:val="20"/>
                    </w:rPr>
                    <w:t>.  Both cases led to no further action being taken</w:t>
                  </w:r>
                  <w:r w:rsidR="00D203FF">
                    <w:rPr>
                      <w:sz w:val="20"/>
                      <w:szCs w:val="20"/>
                    </w:rPr>
                    <w:t>.</w:t>
                  </w:r>
                  <w:r w:rsidR="002E6EFC">
                    <w:rPr>
                      <w:sz w:val="20"/>
                      <w:szCs w:val="20"/>
                    </w:rPr>
                    <w:t xml:space="preserve">  See table at the end for </w:t>
                  </w:r>
                  <w:r w:rsidR="00F00BC8">
                    <w:rPr>
                      <w:sz w:val="20"/>
                      <w:szCs w:val="20"/>
                    </w:rPr>
                    <w:t>NFI outcomes.</w:t>
                  </w:r>
                </w:p>
              </w:tc>
              <w:tc>
                <w:tcPr>
                  <w:tcW w:w="4161" w:type="dxa"/>
                  <w:shd w:val="clear" w:color="auto" w:fill="auto"/>
                </w:tcPr>
                <w:p w14:paraId="10E60C9B" w14:textId="77777777" w:rsidR="0069329D" w:rsidRPr="00D67E75" w:rsidRDefault="0069329D" w:rsidP="004E23DA">
                  <w:pPr>
                    <w:rPr>
                      <w:sz w:val="20"/>
                      <w:szCs w:val="20"/>
                    </w:rPr>
                  </w:pPr>
                </w:p>
              </w:tc>
            </w:tr>
            <w:tr w:rsidR="0069329D" w:rsidRPr="00D67E75" w14:paraId="1018EAC7" w14:textId="77777777" w:rsidTr="00505743">
              <w:tc>
                <w:tcPr>
                  <w:tcW w:w="5703" w:type="dxa"/>
                  <w:shd w:val="clear" w:color="auto" w:fill="auto"/>
                </w:tcPr>
                <w:p w14:paraId="5A74661D" w14:textId="77777777" w:rsidR="0069329D" w:rsidRPr="00D67E75" w:rsidRDefault="0069329D" w:rsidP="004E23DA">
                  <w:pPr>
                    <w:rPr>
                      <w:sz w:val="20"/>
                      <w:szCs w:val="20"/>
                    </w:rPr>
                  </w:pPr>
                </w:p>
              </w:tc>
              <w:tc>
                <w:tcPr>
                  <w:tcW w:w="4161" w:type="dxa"/>
                  <w:shd w:val="clear" w:color="auto" w:fill="auto"/>
                </w:tcPr>
                <w:p w14:paraId="3E7E5894" w14:textId="77777777" w:rsidR="0069329D" w:rsidRPr="00D67E75" w:rsidRDefault="0069329D" w:rsidP="004E23DA">
                  <w:pPr>
                    <w:rPr>
                      <w:sz w:val="20"/>
                      <w:szCs w:val="20"/>
                    </w:rPr>
                  </w:pPr>
                </w:p>
              </w:tc>
            </w:tr>
            <w:tr w:rsidR="0069329D" w:rsidRPr="00D67E75" w14:paraId="0A3D3943" w14:textId="77777777" w:rsidTr="00505743">
              <w:tc>
                <w:tcPr>
                  <w:tcW w:w="5703" w:type="dxa"/>
                  <w:shd w:val="clear" w:color="auto" w:fill="auto"/>
                </w:tcPr>
                <w:p w14:paraId="26F392EF" w14:textId="77777777" w:rsidR="0069329D" w:rsidRPr="00D67E75" w:rsidRDefault="0069329D" w:rsidP="004E23DA">
                  <w:pPr>
                    <w:rPr>
                      <w:b/>
                      <w:sz w:val="20"/>
                      <w:szCs w:val="20"/>
                    </w:rPr>
                  </w:pPr>
                </w:p>
              </w:tc>
              <w:tc>
                <w:tcPr>
                  <w:tcW w:w="4161" w:type="dxa"/>
                  <w:shd w:val="clear" w:color="auto" w:fill="auto"/>
                </w:tcPr>
                <w:p w14:paraId="6958AEF7" w14:textId="77777777" w:rsidR="0069329D" w:rsidRPr="00D67E75" w:rsidRDefault="0069329D" w:rsidP="004E23DA">
                  <w:pPr>
                    <w:rPr>
                      <w:b/>
                      <w:sz w:val="20"/>
                      <w:szCs w:val="20"/>
                    </w:rPr>
                  </w:pPr>
                </w:p>
              </w:tc>
            </w:tr>
            <w:tr w:rsidR="0069329D" w:rsidRPr="00D67E75" w14:paraId="34F04372" w14:textId="77777777" w:rsidTr="000B55AE">
              <w:trPr>
                <w:trHeight w:val="80"/>
              </w:trPr>
              <w:tc>
                <w:tcPr>
                  <w:tcW w:w="5703" w:type="dxa"/>
                  <w:shd w:val="clear" w:color="auto" w:fill="auto"/>
                </w:tcPr>
                <w:p w14:paraId="69CA78A8" w14:textId="77777777" w:rsidR="0069329D" w:rsidRPr="00D67E75" w:rsidRDefault="0069329D" w:rsidP="004E23DA">
                  <w:pPr>
                    <w:rPr>
                      <w:b/>
                      <w:sz w:val="20"/>
                      <w:szCs w:val="20"/>
                    </w:rPr>
                  </w:pPr>
                </w:p>
              </w:tc>
              <w:tc>
                <w:tcPr>
                  <w:tcW w:w="4161" w:type="dxa"/>
                  <w:shd w:val="clear" w:color="auto" w:fill="auto"/>
                </w:tcPr>
                <w:p w14:paraId="1783C383" w14:textId="77777777" w:rsidR="0069329D" w:rsidRPr="00D67E75" w:rsidRDefault="0069329D" w:rsidP="004E23DA">
                  <w:pPr>
                    <w:rPr>
                      <w:b/>
                      <w:sz w:val="20"/>
                      <w:szCs w:val="20"/>
                    </w:rPr>
                  </w:pPr>
                </w:p>
              </w:tc>
            </w:tr>
          </w:tbl>
          <w:p w14:paraId="00583181" w14:textId="77777777" w:rsidR="0069329D" w:rsidRPr="0069329D" w:rsidRDefault="0069329D" w:rsidP="004E23DA">
            <w:pPr>
              <w:rPr>
                <w:b/>
                <w:color w:val="000000"/>
                <w:sz w:val="20"/>
                <w:szCs w:val="20"/>
                <w:lang w:val="en-US"/>
              </w:rPr>
            </w:pPr>
          </w:p>
        </w:tc>
      </w:tr>
      <w:tr w:rsidR="00887E43" w:rsidRPr="0075312F" w14:paraId="3FF87C84" w14:textId="77777777" w:rsidTr="00B70289">
        <w:trPr>
          <w:trHeight w:val="251"/>
        </w:trPr>
        <w:tc>
          <w:tcPr>
            <w:tcW w:w="576" w:type="dxa"/>
            <w:tcBorders>
              <w:top w:val="single" w:sz="4" w:space="0" w:color="auto"/>
              <w:left w:val="single" w:sz="4" w:space="0" w:color="auto"/>
              <w:bottom w:val="single" w:sz="4" w:space="0" w:color="auto"/>
              <w:right w:val="single" w:sz="4" w:space="0" w:color="auto"/>
            </w:tcBorders>
          </w:tcPr>
          <w:p w14:paraId="24501F33" w14:textId="008D26F4" w:rsidR="00887E43" w:rsidRDefault="00FD1D1E" w:rsidP="007816FE">
            <w:pPr>
              <w:rPr>
                <w:sz w:val="20"/>
                <w:szCs w:val="20"/>
                <w:lang w:val="en-US"/>
              </w:rPr>
            </w:pPr>
            <w:r>
              <w:rPr>
                <w:sz w:val="20"/>
                <w:szCs w:val="20"/>
                <w:lang w:val="en-US"/>
              </w:rPr>
              <w:t>5</w:t>
            </w:r>
            <w:r w:rsidR="00887E43">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30C9A917" w14:textId="70C11676" w:rsidR="00887E43" w:rsidRPr="00887E43" w:rsidRDefault="00887E43" w:rsidP="00887E43">
            <w:pPr>
              <w:pStyle w:val="Default"/>
              <w:rPr>
                <w:b/>
                <w:sz w:val="20"/>
                <w:szCs w:val="20"/>
              </w:rPr>
            </w:pPr>
            <w:proofErr w:type="spellStart"/>
            <w:r w:rsidRPr="00887E43">
              <w:rPr>
                <w:b/>
                <w:sz w:val="20"/>
                <w:szCs w:val="20"/>
              </w:rPr>
              <w:t>Cifas</w:t>
            </w:r>
            <w:proofErr w:type="spellEnd"/>
            <w:r w:rsidRPr="00887E43">
              <w:rPr>
                <w:b/>
                <w:sz w:val="20"/>
                <w:szCs w:val="20"/>
              </w:rPr>
              <w:t xml:space="preserve"> </w:t>
            </w:r>
            <w:r w:rsidR="00510B93">
              <w:rPr>
                <w:b/>
                <w:sz w:val="20"/>
                <w:szCs w:val="20"/>
              </w:rPr>
              <w:t>project</w:t>
            </w:r>
            <w:r w:rsidRPr="00887E43">
              <w:rPr>
                <w:b/>
                <w:sz w:val="20"/>
                <w:szCs w:val="20"/>
              </w:rPr>
              <w:t xml:space="preserve"> </w:t>
            </w:r>
          </w:p>
          <w:p w14:paraId="4368AEB9" w14:textId="77777777" w:rsidR="00887E43" w:rsidRDefault="00887E43" w:rsidP="007816FE">
            <w:pPr>
              <w:rPr>
                <w:b/>
                <w:sz w:val="20"/>
                <w:szCs w:val="20"/>
                <w:lang w:val="en-US"/>
              </w:rPr>
            </w:pPr>
          </w:p>
          <w:p w14:paraId="54619B9E" w14:textId="547928CF" w:rsidR="00FD1D1E" w:rsidRDefault="00FD1D1E" w:rsidP="00FD1D1E">
            <w:pPr>
              <w:pStyle w:val="Default"/>
              <w:rPr>
                <w:sz w:val="20"/>
                <w:szCs w:val="20"/>
              </w:rPr>
            </w:pPr>
            <w:r>
              <w:rPr>
                <w:sz w:val="20"/>
                <w:szCs w:val="20"/>
              </w:rPr>
              <w:t xml:space="preserve">Continue to maximise membership of </w:t>
            </w:r>
            <w:proofErr w:type="spellStart"/>
            <w:r>
              <w:rPr>
                <w:sz w:val="20"/>
                <w:szCs w:val="20"/>
              </w:rPr>
              <w:t>Cifas</w:t>
            </w:r>
            <w:proofErr w:type="spellEnd"/>
            <w:r>
              <w:rPr>
                <w:sz w:val="20"/>
                <w:szCs w:val="20"/>
              </w:rPr>
              <w:t xml:space="preserve"> for a further 12 months to support fraud investigation work undertaking a proactive drive and explore expanding </w:t>
            </w:r>
            <w:proofErr w:type="spellStart"/>
            <w:r>
              <w:rPr>
                <w:sz w:val="20"/>
                <w:szCs w:val="20"/>
              </w:rPr>
              <w:t>it’s</w:t>
            </w:r>
            <w:proofErr w:type="spellEnd"/>
            <w:r>
              <w:rPr>
                <w:sz w:val="20"/>
                <w:szCs w:val="20"/>
              </w:rPr>
              <w:t xml:space="preserve"> use internally for areas such as Human Resources and Recruitment (vetting), Insurance &amp; Procurement. </w:t>
            </w:r>
          </w:p>
          <w:p w14:paraId="5C9C5357" w14:textId="77777777" w:rsidR="00887E43" w:rsidRPr="007C6042" w:rsidRDefault="00887E43" w:rsidP="00893FBA">
            <w:pPr>
              <w:pStyle w:val="Default"/>
              <w:rPr>
                <w:b/>
                <w:sz w:val="20"/>
                <w:szCs w:val="20"/>
                <w:lang w:val="en-US"/>
              </w:rPr>
            </w:pPr>
          </w:p>
        </w:tc>
        <w:tc>
          <w:tcPr>
            <w:tcW w:w="6095" w:type="dxa"/>
            <w:tcBorders>
              <w:top w:val="single" w:sz="4" w:space="0" w:color="auto"/>
              <w:left w:val="nil"/>
              <w:bottom w:val="single" w:sz="4" w:space="0" w:color="auto"/>
              <w:right w:val="single" w:sz="4" w:space="0" w:color="auto"/>
            </w:tcBorders>
            <w:shd w:val="clear" w:color="auto" w:fill="auto"/>
          </w:tcPr>
          <w:p w14:paraId="74361861" w14:textId="5222DF84" w:rsidR="00887E43" w:rsidRPr="00135004" w:rsidRDefault="002D380A" w:rsidP="00EE6ACD">
            <w:pPr>
              <w:rPr>
                <w:b/>
                <w:bCs/>
                <w:sz w:val="20"/>
                <w:szCs w:val="20"/>
              </w:rPr>
            </w:pPr>
            <w:r w:rsidRPr="00135004">
              <w:rPr>
                <w:b/>
                <w:bCs/>
                <w:sz w:val="20"/>
                <w:szCs w:val="20"/>
              </w:rPr>
              <w:t xml:space="preserve">Objective </w:t>
            </w:r>
            <w:r w:rsidR="008F099F" w:rsidRPr="00135004">
              <w:rPr>
                <w:b/>
                <w:bCs/>
                <w:sz w:val="20"/>
                <w:szCs w:val="20"/>
              </w:rPr>
              <w:t>achieved</w:t>
            </w:r>
          </w:p>
          <w:p w14:paraId="5A523108" w14:textId="77777777" w:rsidR="00861945" w:rsidRPr="00135004" w:rsidRDefault="00861945" w:rsidP="00FE08E9">
            <w:pPr>
              <w:rPr>
                <w:sz w:val="20"/>
                <w:szCs w:val="20"/>
              </w:rPr>
            </w:pPr>
          </w:p>
          <w:p w14:paraId="1B71EF8F" w14:textId="2A075E67" w:rsidR="00827640" w:rsidRPr="00135004" w:rsidRDefault="00705F28" w:rsidP="00A45A68">
            <w:pPr>
              <w:rPr>
                <w:sz w:val="20"/>
                <w:szCs w:val="20"/>
              </w:rPr>
            </w:pPr>
            <w:r w:rsidRPr="00135004">
              <w:rPr>
                <w:sz w:val="20"/>
                <w:szCs w:val="20"/>
              </w:rPr>
              <w:t xml:space="preserve">Membership of </w:t>
            </w:r>
            <w:proofErr w:type="spellStart"/>
            <w:r w:rsidRPr="00135004">
              <w:rPr>
                <w:sz w:val="20"/>
                <w:szCs w:val="20"/>
              </w:rPr>
              <w:t>Cifas</w:t>
            </w:r>
            <w:proofErr w:type="spellEnd"/>
            <w:r w:rsidRPr="00135004">
              <w:rPr>
                <w:sz w:val="20"/>
                <w:szCs w:val="20"/>
              </w:rPr>
              <w:t xml:space="preserve"> continued </w:t>
            </w:r>
            <w:r w:rsidR="009416C9" w:rsidRPr="00135004">
              <w:rPr>
                <w:sz w:val="20"/>
                <w:szCs w:val="20"/>
              </w:rPr>
              <w:t>throughout the</w:t>
            </w:r>
            <w:r w:rsidR="00030A45" w:rsidRPr="00135004">
              <w:rPr>
                <w:sz w:val="20"/>
                <w:szCs w:val="20"/>
              </w:rPr>
              <w:t xml:space="preserve"> year with all referrals received being checked on the National Fraud Database</w:t>
            </w:r>
            <w:r w:rsidR="00715692" w:rsidRPr="00135004">
              <w:rPr>
                <w:sz w:val="20"/>
                <w:szCs w:val="20"/>
              </w:rPr>
              <w:t>.</w:t>
            </w:r>
          </w:p>
          <w:p w14:paraId="0475D292" w14:textId="77777777" w:rsidR="00827640" w:rsidRPr="00135004" w:rsidRDefault="00827640" w:rsidP="00A45A68">
            <w:pPr>
              <w:rPr>
                <w:sz w:val="20"/>
                <w:szCs w:val="20"/>
              </w:rPr>
            </w:pPr>
          </w:p>
          <w:p w14:paraId="0299CA1C" w14:textId="0BF21689" w:rsidR="00BA4B86" w:rsidRPr="00135004" w:rsidRDefault="00994228" w:rsidP="00A45A68">
            <w:pPr>
              <w:rPr>
                <w:sz w:val="20"/>
                <w:szCs w:val="20"/>
              </w:rPr>
            </w:pPr>
            <w:r w:rsidRPr="00135004">
              <w:rPr>
                <w:sz w:val="20"/>
                <w:szCs w:val="20"/>
              </w:rPr>
              <w:t xml:space="preserve">A </w:t>
            </w:r>
            <w:r w:rsidR="004F0DD4" w:rsidRPr="00135004">
              <w:rPr>
                <w:sz w:val="20"/>
                <w:szCs w:val="20"/>
              </w:rPr>
              <w:t xml:space="preserve">housing fraud </w:t>
            </w:r>
            <w:proofErr w:type="spellStart"/>
            <w:r w:rsidR="004F0DD4" w:rsidRPr="00135004">
              <w:rPr>
                <w:sz w:val="20"/>
                <w:szCs w:val="20"/>
              </w:rPr>
              <w:t>datamatch</w:t>
            </w:r>
            <w:proofErr w:type="spellEnd"/>
            <w:r w:rsidR="004F0DD4" w:rsidRPr="00135004">
              <w:rPr>
                <w:sz w:val="20"/>
                <w:szCs w:val="20"/>
              </w:rPr>
              <w:t xml:space="preserve"> was undertaken </w:t>
            </w:r>
            <w:r w:rsidR="00AB587B" w:rsidRPr="00135004">
              <w:rPr>
                <w:sz w:val="20"/>
                <w:szCs w:val="20"/>
              </w:rPr>
              <w:t xml:space="preserve">matching </w:t>
            </w:r>
            <w:r w:rsidR="00733B91" w:rsidRPr="00135004">
              <w:rPr>
                <w:sz w:val="20"/>
                <w:szCs w:val="20"/>
              </w:rPr>
              <w:t xml:space="preserve">the tenancy data against the </w:t>
            </w:r>
            <w:proofErr w:type="spellStart"/>
            <w:r w:rsidR="00733B91" w:rsidRPr="00135004">
              <w:rPr>
                <w:sz w:val="20"/>
                <w:szCs w:val="20"/>
              </w:rPr>
              <w:t>Cifas</w:t>
            </w:r>
            <w:proofErr w:type="spellEnd"/>
            <w:r w:rsidR="00733B91" w:rsidRPr="00135004">
              <w:rPr>
                <w:sz w:val="20"/>
                <w:szCs w:val="20"/>
              </w:rPr>
              <w:t xml:space="preserve"> National Fraud Database</w:t>
            </w:r>
            <w:r w:rsidR="00AB587B" w:rsidRPr="00135004">
              <w:rPr>
                <w:sz w:val="20"/>
                <w:szCs w:val="20"/>
              </w:rPr>
              <w:t xml:space="preserve"> </w:t>
            </w:r>
            <w:r w:rsidR="00705716" w:rsidRPr="00135004">
              <w:rPr>
                <w:sz w:val="20"/>
                <w:szCs w:val="20"/>
              </w:rPr>
              <w:t xml:space="preserve">and this </w:t>
            </w:r>
            <w:r w:rsidR="00BA4B86" w:rsidRPr="00135004">
              <w:rPr>
                <w:sz w:val="20"/>
                <w:szCs w:val="20"/>
              </w:rPr>
              <w:t>resu</w:t>
            </w:r>
            <w:r w:rsidR="00AB587B" w:rsidRPr="00135004">
              <w:rPr>
                <w:sz w:val="20"/>
                <w:szCs w:val="20"/>
              </w:rPr>
              <w:t>l</w:t>
            </w:r>
            <w:r w:rsidR="00BA4B86" w:rsidRPr="00135004">
              <w:rPr>
                <w:sz w:val="20"/>
                <w:szCs w:val="20"/>
              </w:rPr>
              <w:t>ted in the following</w:t>
            </w:r>
            <w:r w:rsidR="00AB587B" w:rsidRPr="00135004">
              <w:rPr>
                <w:sz w:val="20"/>
                <w:szCs w:val="20"/>
              </w:rPr>
              <w:t>:-</w:t>
            </w:r>
          </w:p>
          <w:p w14:paraId="3A7C5BC2" w14:textId="77777777" w:rsidR="00BA4B86" w:rsidRPr="00135004" w:rsidRDefault="00BA4B86" w:rsidP="00A45A68">
            <w:pPr>
              <w:rPr>
                <w:sz w:val="20"/>
                <w:szCs w:val="20"/>
              </w:rPr>
            </w:pPr>
          </w:p>
          <w:p w14:paraId="7BE1354C" w14:textId="16532705" w:rsidR="009213AA" w:rsidRPr="00135004" w:rsidRDefault="00BA4B86" w:rsidP="00BA4B86">
            <w:pPr>
              <w:pStyle w:val="ListParagraph"/>
              <w:numPr>
                <w:ilvl w:val="0"/>
                <w:numId w:val="12"/>
              </w:numPr>
              <w:rPr>
                <w:sz w:val="20"/>
                <w:szCs w:val="20"/>
              </w:rPr>
            </w:pPr>
            <w:r w:rsidRPr="00135004">
              <w:rPr>
                <w:sz w:val="20"/>
                <w:szCs w:val="20"/>
              </w:rPr>
              <w:t xml:space="preserve">350 matches </w:t>
            </w:r>
            <w:r w:rsidR="0086646A">
              <w:rPr>
                <w:sz w:val="20"/>
                <w:szCs w:val="20"/>
              </w:rPr>
              <w:t>to</w:t>
            </w:r>
            <w:r w:rsidRPr="00135004">
              <w:rPr>
                <w:sz w:val="20"/>
                <w:szCs w:val="20"/>
              </w:rPr>
              <w:t xml:space="preserve"> the mortality register </w:t>
            </w:r>
            <w:r w:rsidR="007A581C" w:rsidRPr="00135004">
              <w:rPr>
                <w:sz w:val="20"/>
                <w:szCs w:val="20"/>
              </w:rPr>
              <w:t>(tenant or joint tenant deceased</w:t>
            </w:r>
            <w:r w:rsidR="00152A10" w:rsidRPr="00135004">
              <w:rPr>
                <w:sz w:val="20"/>
                <w:szCs w:val="20"/>
              </w:rPr>
              <w:t>)</w:t>
            </w:r>
          </w:p>
          <w:p w14:paraId="0F3DBB9E" w14:textId="0700B726" w:rsidR="00DB0845" w:rsidRPr="00135004" w:rsidRDefault="00DB0845" w:rsidP="00BA4B86">
            <w:pPr>
              <w:pStyle w:val="ListParagraph"/>
              <w:numPr>
                <w:ilvl w:val="0"/>
                <w:numId w:val="12"/>
              </w:numPr>
              <w:rPr>
                <w:sz w:val="20"/>
                <w:szCs w:val="20"/>
              </w:rPr>
            </w:pPr>
            <w:r w:rsidRPr="00135004">
              <w:rPr>
                <w:sz w:val="20"/>
                <w:szCs w:val="20"/>
              </w:rPr>
              <w:t>2 matches reported to housing management for further investigation</w:t>
            </w:r>
            <w:r w:rsidR="00152A10" w:rsidRPr="00135004">
              <w:rPr>
                <w:sz w:val="20"/>
                <w:szCs w:val="20"/>
              </w:rPr>
              <w:t xml:space="preserve"> as the tenant death was </w:t>
            </w:r>
            <w:r w:rsidR="00135004" w:rsidRPr="00135004">
              <w:rPr>
                <w:sz w:val="20"/>
                <w:szCs w:val="20"/>
              </w:rPr>
              <w:t>known</w:t>
            </w:r>
          </w:p>
          <w:p w14:paraId="1C51EBFB" w14:textId="61B9C37A" w:rsidR="00DB0845" w:rsidRPr="00135004" w:rsidRDefault="00DB0845" w:rsidP="00BA4B86">
            <w:pPr>
              <w:pStyle w:val="ListParagraph"/>
              <w:numPr>
                <w:ilvl w:val="0"/>
                <w:numId w:val="12"/>
              </w:numPr>
              <w:rPr>
                <w:sz w:val="20"/>
                <w:szCs w:val="20"/>
              </w:rPr>
            </w:pPr>
            <w:r w:rsidRPr="00135004">
              <w:rPr>
                <w:sz w:val="20"/>
                <w:szCs w:val="20"/>
              </w:rPr>
              <w:t>1 match under investigation by CAFT</w:t>
            </w:r>
          </w:p>
          <w:p w14:paraId="23D5FAF0" w14:textId="77777777" w:rsidR="009213AA" w:rsidRPr="00135004" w:rsidRDefault="009213AA" w:rsidP="00FE08E9">
            <w:pPr>
              <w:rPr>
                <w:sz w:val="20"/>
                <w:szCs w:val="20"/>
              </w:rPr>
            </w:pPr>
          </w:p>
          <w:p w14:paraId="1FE44A1C" w14:textId="77777777" w:rsidR="00463388" w:rsidRPr="00135004" w:rsidRDefault="002F0C72" w:rsidP="00FE08E9">
            <w:pPr>
              <w:rPr>
                <w:sz w:val="20"/>
                <w:szCs w:val="20"/>
              </w:rPr>
            </w:pPr>
            <w:r w:rsidRPr="00135004">
              <w:rPr>
                <w:sz w:val="20"/>
                <w:szCs w:val="20"/>
              </w:rPr>
              <w:t xml:space="preserve">  </w:t>
            </w:r>
            <w:r w:rsidR="00FE08E9" w:rsidRPr="00135004">
              <w:rPr>
                <w:sz w:val="20"/>
                <w:szCs w:val="20"/>
              </w:rPr>
              <w:t xml:space="preserve"> </w:t>
            </w:r>
          </w:p>
          <w:p w14:paraId="13FBDA75" w14:textId="77777777" w:rsidR="00893FBA" w:rsidRPr="00135004" w:rsidRDefault="00893FBA" w:rsidP="00463388">
            <w:pPr>
              <w:rPr>
                <w:sz w:val="20"/>
                <w:szCs w:val="20"/>
              </w:rPr>
            </w:pPr>
          </w:p>
        </w:tc>
      </w:tr>
    </w:tbl>
    <w:p w14:paraId="3ACDAEC4" w14:textId="77777777" w:rsidR="00B70289" w:rsidRDefault="00B70289">
      <w:r>
        <w:br w:type="page"/>
      </w:r>
    </w:p>
    <w:tbl>
      <w:tblPr>
        <w:tblW w:w="10632" w:type="dxa"/>
        <w:tblInd w:w="-34" w:type="dxa"/>
        <w:tblLayout w:type="fixed"/>
        <w:tblLook w:val="0000" w:firstRow="0" w:lastRow="0" w:firstColumn="0" w:lastColumn="0" w:noHBand="0" w:noVBand="0"/>
      </w:tblPr>
      <w:tblGrid>
        <w:gridCol w:w="576"/>
        <w:gridCol w:w="3961"/>
        <w:gridCol w:w="6095"/>
      </w:tblGrid>
      <w:tr w:rsidR="00B70289" w:rsidRPr="00380629" w14:paraId="603C8DF7" w14:textId="77777777" w:rsidTr="00B70289">
        <w:trPr>
          <w:trHeight w:val="282"/>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7FB674BC" w14:textId="77777777" w:rsidR="00B70289" w:rsidRDefault="00B70289" w:rsidP="005C5B71">
            <w:pPr>
              <w:rPr>
                <w:b/>
                <w:bCs/>
                <w:sz w:val="20"/>
                <w:szCs w:val="20"/>
                <w:lang w:val="en-US"/>
              </w:rPr>
            </w:pPr>
            <w:r>
              <w:lastRenderedPageBreak/>
              <w:br w:type="page"/>
            </w:r>
          </w:p>
        </w:tc>
        <w:tc>
          <w:tcPr>
            <w:tcW w:w="3961"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15A940D8" w14:textId="77777777" w:rsidR="00B70289" w:rsidRPr="001E0720" w:rsidRDefault="00B70289" w:rsidP="00B70289">
            <w:pPr>
              <w:rPr>
                <w:b/>
                <w:bCs/>
                <w:sz w:val="20"/>
                <w:szCs w:val="20"/>
                <w:lang w:val="en-US"/>
              </w:rPr>
            </w:pPr>
            <w:r w:rsidRPr="001E0720">
              <w:rPr>
                <w:b/>
                <w:bCs/>
                <w:sz w:val="20"/>
                <w:szCs w:val="20"/>
                <w:lang w:val="en-US"/>
              </w:rPr>
              <w:t>Fraud work stream</w:t>
            </w:r>
          </w:p>
        </w:tc>
        <w:tc>
          <w:tcPr>
            <w:tcW w:w="6095" w:type="dxa"/>
            <w:tcBorders>
              <w:top w:val="single" w:sz="4" w:space="0" w:color="auto"/>
              <w:left w:val="nil"/>
              <w:bottom w:val="single" w:sz="4" w:space="0" w:color="auto"/>
              <w:right w:val="single" w:sz="4" w:space="0" w:color="auto"/>
            </w:tcBorders>
            <w:shd w:val="clear" w:color="auto" w:fill="17365D"/>
            <w:vAlign w:val="center"/>
          </w:tcPr>
          <w:p w14:paraId="19294B5A" w14:textId="77777777" w:rsidR="00B70289" w:rsidRPr="001E0720" w:rsidRDefault="00B70289" w:rsidP="005C5B71">
            <w:pPr>
              <w:rPr>
                <w:b/>
                <w:bCs/>
                <w:sz w:val="20"/>
                <w:szCs w:val="20"/>
                <w:lang w:val="en-US"/>
              </w:rPr>
            </w:pPr>
            <w:r w:rsidRPr="001E0720">
              <w:rPr>
                <w:b/>
                <w:bCs/>
                <w:sz w:val="20"/>
                <w:szCs w:val="20"/>
                <w:lang w:val="en-US"/>
              </w:rPr>
              <w:t>Detail</w:t>
            </w:r>
          </w:p>
        </w:tc>
      </w:tr>
      <w:tr w:rsidR="0017605D" w:rsidRPr="0075312F" w14:paraId="5BDF7BF3" w14:textId="77777777" w:rsidTr="008F099F">
        <w:trPr>
          <w:trHeight w:val="7370"/>
        </w:trPr>
        <w:tc>
          <w:tcPr>
            <w:tcW w:w="576" w:type="dxa"/>
            <w:tcBorders>
              <w:top w:val="single" w:sz="4" w:space="0" w:color="auto"/>
              <w:left w:val="single" w:sz="4" w:space="0" w:color="auto"/>
              <w:bottom w:val="single" w:sz="4" w:space="0" w:color="auto"/>
              <w:right w:val="single" w:sz="4" w:space="0" w:color="auto"/>
            </w:tcBorders>
          </w:tcPr>
          <w:p w14:paraId="0E1F2782" w14:textId="4C45BFAC" w:rsidR="0017605D" w:rsidRPr="0075312F" w:rsidRDefault="00FD1D1E" w:rsidP="007816FE">
            <w:pPr>
              <w:rPr>
                <w:sz w:val="20"/>
                <w:szCs w:val="20"/>
                <w:lang w:val="en-US"/>
              </w:rPr>
            </w:pPr>
            <w:r>
              <w:rPr>
                <w:sz w:val="20"/>
                <w:szCs w:val="20"/>
                <w:lang w:val="en-US"/>
              </w:rPr>
              <w:t>6</w:t>
            </w:r>
            <w:r w:rsidR="0017605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5C3B537B" w14:textId="77777777" w:rsidR="0017605D" w:rsidRPr="007C6042" w:rsidRDefault="0017605D" w:rsidP="007816FE">
            <w:pPr>
              <w:rPr>
                <w:b/>
                <w:sz w:val="20"/>
                <w:szCs w:val="20"/>
                <w:lang w:val="en-US"/>
              </w:rPr>
            </w:pPr>
            <w:r w:rsidRPr="007C6042">
              <w:rPr>
                <w:b/>
                <w:sz w:val="20"/>
                <w:szCs w:val="20"/>
                <w:lang w:val="en-US"/>
              </w:rPr>
              <w:t>Corporate anti-fraud awareness</w:t>
            </w:r>
          </w:p>
          <w:p w14:paraId="6AFE8ACB" w14:textId="77777777" w:rsidR="0017605D" w:rsidRPr="007C6042" w:rsidRDefault="0017605D" w:rsidP="007816FE">
            <w:pPr>
              <w:rPr>
                <w:b/>
                <w:sz w:val="20"/>
                <w:szCs w:val="20"/>
                <w:lang w:val="en-US"/>
              </w:rPr>
            </w:pPr>
          </w:p>
          <w:p w14:paraId="147DDDAB" w14:textId="77777777" w:rsidR="00D77CD3" w:rsidRDefault="00D77CD3" w:rsidP="00D77CD3">
            <w:pPr>
              <w:pStyle w:val="Default"/>
              <w:rPr>
                <w:sz w:val="20"/>
                <w:szCs w:val="20"/>
              </w:rPr>
            </w:pPr>
            <w:r>
              <w:rPr>
                <w:sz w:val="20"/>
                <w:szCs w:val="20"/>
              </w:rPr>
              <w:t xml:space="preserve">Raise awareness of fraud and corruption risks both within the authority and in the community through the publication of fraud successes and awareness internally and in local and national media, including the use of all forms of social media including the following actions:- </w:t>
            </w:r>
          </w:p>
          <w:p w14:paraId="19695816" w14:textId="77777777" w:rsidR="0017605D" w:rsidRDefault="0017605D" w:rsidP="007877A0">
            <w:pPr>
              <w:rPr>
                <w:b/>
                <w:sz w:val="20"/>
                <w:szCs w:val="20"/>
                <w:lang w:val="en-US"/>
              </w:rPr>
            </w:pPr>
          </w:p>
          <w:p w14:paraId="7E3D893F" w14:textId="77777777" w:rsidR="00F94FB4" w:rsidRDefault="00F94FB4" w:rsidP="00F94FB4">
            <w:pPr>
              <w:pStyle w:val="Default"/>
              <w:rPr>
                <w:color w:val="auto"/>
              </w:rPr>
            </w:pPr>
          </w:p>
          <w:p w14:paraId="19C72575" w14:textId="77777777" w:rsidR="00F94FB4" w:rsidRDefault="00F94FB4" w:rsidP="00165D78">
            <w:pPr>
              <w:pStyle w:val="Default"/>
              <w:numPr>
                <w:ilvl w:val="0"/>
                <w:numId w:val="9"/>
              </w:numPr>
              <w:rPr>
                <w:sz w:val="20"/>
                <w:szCs w:val="20"/>
              </w:rPr>
            </w:pPr>
            <w:r>
              <w:rPr>
                <w:sz w:val="20"/>
                <w:szCs w:val="20"/>
              </w:rPr>
              <w:t xml:space="preserve">Continue to promote the fraud e-learning package to employees </w:t>
            </w:r>
          </w:p>
          <w:p w14:paraId="07F4BED1" w14:textId="77777777" w:rsidR="00F94FB4" w:rsidRDefault="00F94FB4" w:rsidP="00F94FB4">
            <w:pPr>
              <w:pStyle w:val="Default"/>
              <w:rPr>
                <w:sz w:val="20"/>
                <w:szCs w:val="20"/>
              </w:rPr>
            </w:pPr>
          </w:p>
          <w:p w14:paraId="53490C13" w14:textId="3670002A" w:rsidR="00F94FB4" w:rsidRDefault="00F94FB4" w:rsidP="00165D78">
            <w:pPr>
              <w:pStyle w:val="Default"/>
              <w:numPr>
                <w:ilvl w:val="0"/>
                <w:numId w:val="9"/>
              </w:numPr>
              <w:rPr>
                <w:sz w:val="20"/>
                <w:szCs w:val="20"/>
              </w:rPr>
            </w:pPr>
            <w:r>
              <w:rPr>
                <w:sz w:val="20"/>
                <w:szCs w:val="20"/>
              </w:rPr>
              <w:t xml:space="preserve">General internal communications bulletins in relation to articles on fraud and corruption </w:t>
            </w:r>
          </w:p>
          <w:p w14:paraId="34611EED" w14:textId="77777777" w:rsidR="00F94FB4" w:rsidRDefault="00F94FB4" w:rsidP="00F94FB4">
            <w:pPr>
              <w:pStyle w:val="Default"/>
              <w:rPr>
                <w:sz w:val="20"/>
                <w:szCs w:val="20"/>
              </w:rPr>
            </w:pPr>
          </w:p>
          <w:p w14:paraId="0CEC44C4" w14:textId="01C32780" w:rsidR="00F94FB4" w:rsidRDefault="00F94FB4" w:rsidP="00165D78">
            <w:pPr>
              <w:pStyle w:val="Default"/>
              <w:numPr>
                <w:ilvl w:val="0"/>
                <w:numId w:val="9"/>
              </w:numPr>
              <w:rPr>
                <w:sz w:val="20"/>
                <w:szCs w:val="20"/>
              </w:rPr>
            </w:pPr>
            <w:r>
              <w:rPr>
                <w:sz w:val="20"/>
                <w:szCs w:val="20"/>
              </w:rPr>
              <w:t xml:space="preserve">Issuing management reports detailing investigation outcomes and recommendations for improving fraud risk controls are implemented (KPI5) </w:t>
            </w:r>
          </w:p>
          <w:p w14:paraId="5F16BE6F" w14:textId="77777777" w:rsidR="00F94FB4" w:rsidRDefault="00F94FB4" w:rsidP="00F94FB4">
            <w:pPr>
              <w:pStyle w:val="Default"/>
              <w:rPr>
                <w:sz w:val="20"/>
                <w:szCs w:val="20"/>
              </w:rPr>
            </w:pPr>
          </w:p>
          <w:p w14:paraId="0694A11D" w14:textId="36CEFD9E" w:rsidR="00F94FB4" w:rsidRDefault="00F94FB4" w:rsidP="00165D78">
            <w:pPr>
              <w:pStyle w:val="Default"/>
              <w:numPr>
                <w:ilvl w:val="0"/>
                <w:numId w:val="9"/>
              </w:numPr>
              <w:rPr>
                <w:sz w:val="20"/>
                <w:szCs w:val="20"/>
              </w:rPr>
            </w:pPr>
            <w:r>
              <w:rPr>
                <w:sz w:val="20"/>
                <w:szCs w:val="20"/>
              </w:rPr>
              <w:t xml:space="preserve">Deliver fraud workshops/CAFT attendance at team meetings for high fraud risk areas as appropriate </w:t>
            </w:r>
          </w:p>
          <w:p w14:paraId="0EF58185" w14:textId="77777777" w:rsidR="00F94FB4" w:rsidRDefault="00F94FB4" w:rsidP="00F94FB4">
            <w:pPr>
              <w:pStyle w:val="Default"/>
              <w:rPr>
                <w:sz w:val="20"/>
                <w:szCs w:val="20"/>
              </w:rPr>
            </w:pPr>
          </w:p>
          <w:p w14:paraId="7B7696B1" w14:textId="3DE45F02" w:rsidR="00F94FB4" w:rsidRDefault="00F94FB4" w:rsidP="00165D78">
            <w:pPr>
              <w:pStyle w:val="Default"/>
              <w:numPr>
                <w:ilvl w:val="0"/>
                <w:numId w:val="9"/>
              </w:numPr>
              <w:rPr>
                <w:sz w:val="20"/>
                <w:szCs w:val="20"/>
              </w:rPr>
            </w:pPr>
            <w:r>
              <w:rPr>
                <w:sz w:val="20"/>
                <w:szCs w:val="20"/>
              </w:rPr>
              <w:t xml:space="preserve">Publicity through all forms of media on successful fraud cases, fraud initiatives and related prosecution outcomes </w:t>
            </w:r>
          </w:p>
          <w:p w14:paraId="0F7FFA2B" w14:textId="77777777" w:rsidR="00F94FB4" w:rsidRDefault="00F94FB4" w:rsidP="00F94FB4">
            <w:pPr>
              <w:pStyle w:val="Default"/>
              <w:rPr>
                <w:sz w:val="20"/>
                <w:szCs w:val="20"/>
              </w:rPr>
            </w:pPr>
          </w:p>
          <w:p w14:paraId="3BACEC75" w14:textId="7D1D9A94" w:rsidR="00F94FB4" w:rsidRDefault="00F94FB4" w:rsidP="00165D78">
            <w:pPr>
              <w:pStyle w:val="Default"/>
              <w:numPr>
                <w:ilvl w:val="0"/>
                <w:numId w:val="9"/>
              </w:numPr>
              <w:rPr>
                <w:sz w:val="20"/>
                <w:szCs w:val="20"/>
              </w:rPr>
            </w:pPr>
            <w:r>
              <w:rPr>
                <w:sz w:val="20"/>
                <w:szCs w:val="20"/>
              </w:rPr>
              <w:t xml:space="preserve">The use of Yammer to promote fraud awareness and signpost to the e-learning package </w:t>
            </w:r>
          </w:p>
          <w:p w14:paraId="567A7000" w14:textId="7203DE05" w:rsidR="00F94FB4" w:rsidRPr="007C6042" w:rsidRDefault="00F94FB4" w:rsidP="007877A0">
            <w:pPr>
              <w:rPr>
                <w:b/>
                <w:sz w:val="20"/>
                <w:szCs w:val="20"/>
                <w:lang w:val="en-US"/>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22794A1" w14:textId="7D525492" w:rsidR="0017605D" w:rsidRPr="00D91B20" w:rsidRDefault="006310FF" w:rsidP="00EE6ACD">
            <w:pPr>
              <w:rPr>
                <w:b/>
                <w:strike/>
                <w:sz w:val="20"/>
                <w:szCs w:val="20"/>
              </w:rPr>
            </w:pPr>
            <w:r w:rsidRPr="00D91B20">
              <w:rPr>
                <w:b/>
                <w:sz w:val="20"/>
                <w:szCs w:val="20"/>
              </w:rPr>
              <w:t>Objective</w:t>
            </w:r>
            <w:r w:rsidR="0088645E" w:rsidRPr="00D91B20">
              <w:rPr>
                <w:b/>
                <w:sz w:val="20"/>
                <w:szCs w:val="20"/>
              </w:rPr>
              <w:t xml:space="preserve"> </w:t>
            </w:r>
            <w:r w:rsidR="00D337A0" w:rsidRPr="00D91B20">
              <w:rPr>
                <w:b/>
                <w:sz w:val="20"/>
                <w:szCs w:val="20"/>
              </w:rPr>
              <w:t>partially achieved</w:t>
            </w:r>
          </w:p>
          <w:p w14:paraId="337DBC28" w14:textId="77777777" w:rsidR="00F85C4C" w:rsidRPr="00B75853" w:rsidRDefault="00F85C4C" w:rsidP="007877A0">
            <w:pPr>
              <w:rPr>
                <w:color w:val="FF0000"/>
                <w:sz w:val="20"/>
                <w:szCs w:val="20"/>
                <w:lang w:val="en-US"/>
              </w:rPr>
            </w:pPr>
          </w:p>
          <w:p w14:paraId="2AC4434A" w14:textId="77777777" w:rsidR="000C512C" w:rsidRDefault="000C512C" w:rsidP="007877A0">
            <w:pPr>
              <w:rPr>
                <w:b/>
                <w:sz w:val="20"/>
                <w:szCs w:val="20"/>
                <w:lang w:val="en-US"/>
              </w:rPr>
            </w:pPr>
          </w:p>
          <w:p w14:paraId="75276B9A" w14:textId="77777777" w:rsidR="000C512C" w:rsidRDefault="000C512C" w:rsidP="007877A0">
            <w:pPr>
              <w:rPr>
                <w:b/>
                <w:sz w:val="20"/>
                <w:szCs w:val="20"/>
                <w:lang w:val="en-US"/>
              </w:rPr>
            </w:pPr>
          </w:p>
          <w:p w14:paraId="3D4B8839" w14:textId="77777777" w:rsidR="000C512C" w:rsidRDefault="000C512C" w:rsidP="007877A0">
            <w:pPr>
              <w:rPr>
                <w:b/>
                <w:sz w:val="20"/>
                <w:szCs w:val="20"/>
                <w:lang w:val="en-US"/>
              </w:rPr>
            </w:pPr>
          </w:p>
          <w:p w14:paraId="7BD0B8E1" w14:textId="77777777" w:rsidR="000C512C" w:rsidRDefault="000C512C" w:rsidP="007877A0">
            <w:pPr>
              <w:rPr>
                <w:b/>
                <w:sz w:val="20"/>
                <w:szCs w:val="20"/>
                <w:lang w:val="en-US"/>
              </w:rPr>
            </w:pPr>
          </w:p>
          <w:p w14:paraId="00FD8306" w14:textId="77777777" w:rsidR="000C512C" w:rsidRDefault="000C512C" w:rsidP="007877A0">
            <w:pPr>
              <w:rPr>
                <w:b/>
                <w:sz w:val="20"/>
                <w:szCs w:val="20"/>
                <w:lang w:val="en-US"/>
              </w:rPr>
            </w:pPr>
          </w:p>
          <w:p w14:paraId="20EB9614" w14:textId="77777777" w:rsidR="000C512C" w:rsidRDefault="000C512C" w:rsidP="007877A0">
            <w:pPr>
              <w:rPr>
                <w:b/>
                <w:sz w:val="20"/>
                <w:szCs w:val="20"/>
                <w:lang w:val="en-US"/>
              </w:rPr>
            </w:pPr>
          </w:p>
          <w:p w14:paraId="775CCF78" w14:textId="77777777" w:rsidR="000C512C" w:rsidRDefault="000C512C" w:rsidP="007877A0">
            <w:pPr>
              <w:rPr>
                <w:b/>
                <w:sz w:val="20"/>
                <w:szCs w:val="20"/>
                <w:lang w:val="en-US"/>
              </w:rPr>
            </w:pPr>
          </w:p>
          <w:p w14:paraId="3BA99208" w14:textId="77777777" w:rsidR="000C512C" w:rsidRDefault="000C512C" w:rsidP="007877A0">
            <w:pPr>
              <w:rPr>
                <w:b/>
                <w:sz w:val="20"/>
                <w:szCs w:val="20"/>
                <w:lang w:val="en-US"/>
              </w:rPr>
            </w:pPr>
          </w:p>
          <w:p w14:paraId="7B66D5A7" w14:textId="77777777" w:rsidR="000C512C" w:rsidRDefault="000C512C" w:rsidP="007877A0">
            <w:pPr>
              <w:rPr>
                <w:b/>
                <w:sz w:val="20"/>
                <w:szCs w:val="20"/>
                <w:lang w:val="en-US"/>
              </w:rPr>
            </w:pPr>
          </w:p>
          <w:p w14:paraId="79A811EF" w14:textId="735412EC" w:rsidR="00915505" w:rsidRPr="00126207" w:rsidRDefault="002B13A1" w:rsidP="007877A0">
            <w:pPr>
              <w:rPr>
                <w:b/>
                <w:sz w:val="20"/>
                <w:szCs w:val="20"/>
                <w:lang w:val="en-US"/>
              </w:rPr>
            </w:pPr>
            <w:r w:rsidRPr="00126207">
              <w:rPr>
                <w:b/>
                <w:sz w:val="20"/>
                <w:szCs w:val="20"/>
                <w:lang w:val="en-US"/>
              </w:rPr>
              <w:t>Fraud e</w:t>
            </w:r>
            <w:r w:rsidR="00915505" w:rsidRPr="00126207">
              <w:rPr>
                <w:b/>
                <w:sz w:val="20"/>
                <w:szCs w:val="20"/>
                <w:lang w:val="en-US"/>
              </w:rPr>
              <w:t>-learning</w:t>
            </w:r>
          </w:p>
          <w:p w14:paraId="03BBF7E0" w14:textId="08594C35" w:rsidR="008655D6" w:rsidRDefault="00C0368B" w:rsidP="007877A0">
            <w:pPr>
              <w:rPr>
                <w:sz w:val="20"/>
                <w:szCs w:val="20"/>
                <w:lang w:val="en-US"/>
              </w:rPr>
            </w:pPr>
            <w:r>
              <w:rPr>
                <w:sz w:val="20"/>
                <w:szCs w:val="20"/>
                <w:lang w:val="en-US"/>
              </w:rPr>
              <w:t>A Yammer Fraud Awareness Campaign commenced in February 2022</w:t>
            </w:r>
            <w:r w:rsidR="008655D6">
              <w:rPr>
                <w:sz w:val="20"/>
                <w:szCs w:val="20"/>
                <w:lang w:val="en-US"/>
              </w:rPr>
              <w:t xml:space="preserve"> using a </w:t>
            </w:r>
            <w:proofErr w:type="gramStart"/>
            <w:r w:rsidR="008655D6">
              <w:rPr>
                <w:sz w:val="20"/>
                <w:szCs w:val="20"/>
                <w:lang w:val="en-US"/>
              </w:rPr>
              <w:t>3 pillar</w:t>
            </w:r>
            <w:proofErr w:type="gramEnd"/>
            <w:r w:rsidR="008655D6">
              <w:rPr>
                <w:sz w:val="20"/>
                <w:szCs w:val="20"/>
                <w:lang w:val="en-US"/>
              </w:rPr>
              <w:t xml:space="preserve"> approach</w:t>
            </w:r>
            <w:r w:rsidR="00432B34">
              <w:rPr>
                <w:sz w:val="20"/>
                <w:szCs w:val="20"/>
                <w:lang w:val="en-US"/>
              </w:rPr>
              <w:t xml:space="preserve"> of </w:t>
            </w:r>
            <w:r w:rsidR="00C819BB" w:rsidRPr="00DC4267">
              <w:rPr>
                <w:i/>
                <w:iCs/>
                <w:sz w:val="20"/>
                <w:szCs w:val="20"/>
                <w:lang w:val="en-US"/>
              </w:rPr>
              <w:t>Spot, Stop &amp; Save</w:t>
            </w:r>
            <w:r w:rsidR="00C819BB">
              <w:rPr>
                <w:sz w:val="20"/>
                <w:szCs w:val="20"/>
                <w:lang w:val="en-US"/>
              </w:rPr>
              <w:t xml:space="preserve"> messaging around fraud</w:t>
            </w:r>
            <w:r w:rsidR="007A3B1F">
              <w:rPr>
                <w:sz w:val="20"/>
                <w:szCs w:val="20"/>
                <w:lang w:val="en-US"/>
              </w:rPr>
              <w:t>.  Each message was accompanied by a link to the e</w:t>
            </w:r>
            <w:r w:rsidR="008249EA">
              <w:rPr>
                <w:sz w:val="20"/>
                <w:szCs w:val="20"/>
                <w:lang w:val="en-US"/>
              </w:rPr>
              <w:t>-</w:t>
            </w:r>
            <w:r w:rsidR="007A3B1F">
              <w:rPr>
                <w:sz w:val="20"/>
                <w:szCs w:val="20"/>
                <w:lang w:val="en-US"/>
              </w:rPr>
              <w:t>learning course encouraging staff</w:t>
            </w:r>
            <w:r w:rsidR="008249EA">
              <w:rPr>
                <w:sz w:val="20"/>
                <w:szCs w:val="20"/>
                <w:lang w:val="en-US"/>
              </w:rPr>
              <w:t xml:space="preserve"> </w:t>
            </w:r>
            <w:r w:rsidR="007A3B1F">
              <w:rPr>
                <w:sz w:val="20"/>
                <w:szCs w:val="20"/>
                <w:lang w:val="en-US"/>
              </w:rPr>
              <w:t>to find out more about how they could help</w:t>
            </w:r>
            <w:r w:rsidR="00262774">
              <w:rPr>
                <w:sz w:val="20"/>
                <w:szCs w:val="20"/>
                <w:lang w:val="en-US"/>
              </w:rPr>
              <w:t xml:space="preserve"> prevent fraud in</w:t>
            </w:r>
            <w:r w:rsidR="003B260B">
              <w:rPr>
                <w:sz w:val="20"/>
                <w:szCs w:val="20"/>
                <w:lang w:val="en-US"/>
              </w:rPr>
              <w:t xml:space="preserve"> </w:t>
            </w:r>
            <w:r w:rsidR="00262774">
              <w:rPr>
                <w:sz w:val="20"/>
                <w:szCs w:val="20"/>
                <w:lang w:val="en-US"/>
              </w:rPr>
              <w:t>their service areas</w:t>
            </w:r>
            <w:r w:rsidR="003B260B">
              <w:rPr>
                <w:sz w:val="20"/>
                <w:szCs w:val="20"/>
                <w:lang w:val="en-US"/>
              </w:rPr>
              <w:t>.</w:t>
            </w:r>
            <w:r w:rsidR="007A3B1F">
              <w:rPr>
                <w:sz w:val="20"/>
                <w:szCs w:val="20"/>
                <w:lang w:val="en-US"/>
              </w:rPr>
              <w:t xml:space="preserve">  </w:t>
            </w:r>
            <w:r w:rsidR="00C819BB">
              <w:rPr>
                <w:sz w:val="20"/>
                <w:szCs w:val="20"/>
                <w:lang w:val="en-US"/>
              </w:rPr>
              <w:t xml:space="preserve"> </w:t>
            </w:r>
          </w:p>
          <w:p w14:paraId="5301D985" w14:textId="77777777" w:rsidR="008655D6" w:rsidRDefault="008655D6" w:rsidP="007877A0">
            <w:pPr>
              <w:rPr>
                <w:sz w:val="20"/>
                <w:szCs w:val="20"/>
                <w:lang w:val="en-US"/>
              </w:rPr>
            </w:pPr>
          </w:p>
          <w:p w14:paraId="03EA7D5D" w14:textId="5D20EBC5" w:rsidR="004C44C7" w:rsidRPr="00126207" w:rsidRDefault="008655D6" w:rsidP="007877A0">
            <w:pPr>
              <w:rPr>
                <w:sz w:val="20"/>
                <w:szCs w:val="20"/>
                <w:lang w:val="en-US"/>
              </w:rPr>
            </w:pPr>
            <w:r>
              <w:rPr>
                <w:sz w:val="20"/>
                <w:szCs w:val="20"/>
                <w:lang w:val="en-US"/>
              </w:rPr>
              <w:t xml:space="preserve"> </w:t>
            </w:r>
          </w:p>
          <w:p w14:paraId="55D81793" w14:textId="77777777" w:rsidR="002B13A1" w:rsidRPr="00126207" w:rsidRDefault="002B13A1" w:rsidP="007877A0">
            <w:pPr>
              <w:rPr>
                <w:b/>
                <w:bCs/>
                <w:sz w:val="20"/>
                <w:szCs w:val="20"/>
                <w:lang w:val="en-US"/>
              </w:rPr>
            </w:pPr>
            <w:r w:rsidRPr="00126207">
              <w:rPr>
                <w:b/>
                <w:bCs/>
                <w:sz w:val="20"/>
                <w:szCs w:val="20"/>
                <w:lang w:val="en-US"/>
              </w:rPr>
              <w:t>Internal Communications</w:t>
            </w:r>
          </w:p>
          <w:p w14:paraId="5E0D447B" w14:textId="7609D3F4" w:rsidR="0017605D" w:rsidRPr="00126207" w:rsidRDefault="002B13A1" w:rsidP="007877A0">
            <w:pPr>
              <w:rPr>
                <w:sz w:val="20"/>
                <w:szCs w:val="20"/>
                <w:lang w:val="en-US"/>
              </w:rPr>
            </w:pPr>
            <w:r w:rsidRPr="00126207">
              <w:rPr>
                <w:sz w:val="20"/>
                <w:szCs w:val="20"/>
                <w:lang w:val="en-US"/>
              </w:rPr>
              <w:t>Covid-19 g</w:t>
            </w:r>
            <w:r w:rsidR="00E53CD0" w:rsidRPr="00126207">
              <w:rPr>
                <w:sz w:val="20"/>
                <w:szCs w:val="20"/>
                <w:lang w:val="en-US"/>
              </w:rPr>
              <w:t xml:space="preserve">rant fraud alerts received from NAFN and </w:t>
            </w:r>
            <w:proofErr w:type="spellStart"/>
            <w:r w:rsidR="00E53CD0" w:rsidRPr="00126207">
              <w:rPr>
                <w:sz w:val="20"/>
                <w:szCs w:val="20"/>
                <w:lang w:val="en-US"/>
              </w:rPr>
              <w:t>Cifas</w:t>
            </w:r>
            <w:proofErr w:type="spellEnd"/>
            <w:r w:rsidR="00E53CD0" w:rsidRPr="00126207">
              <w:rPr>
                <w:sz w:val="20"/>
                <w:szCs w:val="20"/>
                <w:lang w:val="en-US"/>
              </w:rPr>
              <w:t xml:space="preserve"> have been shared frequently with Revenues</w:t>
            </w:r>
            <w:r w:rsidR="0088645E" w:rsidRPr="00126207">
              <w:rPr>
                <w:sz w:val="20"/>
                <w:szCs w:val="20"/>
                <w:lang w:val="en-US"/>
              </w:rPr>
              <w:t xml:space="preserve"> and the Economic Development Team</w:t>
            </w:r>
            <w:r w:rsidR="00F85C4C" w:rsidRPr="00126207">
              <w:rPr>
                <w:sz w:val="20"/>
                <w:szCs w:val="20"/>
                <w:lang w:val="en-US"/>
              </w:rPr>
              <w:t>.</w:t>
            </w:r>
            <w:r w:rsidR="0088645E" w:rsidRPr="00126207">
              <w:rPr>
                <w:sz w:val="20"/>
                <w:szCs w:val="20"/>
                <w:lang w:val="en-US"/>
              </w:rPr>
              <w:t xml:space="preserve">  Other general fraud bulletins received have been shared with different service areas potentially affected </w:t>
            </w:r>
            <w:r w:rsidR="00D337A0" w:rsidRPr="00126207">
              <w:rPr>
                <w:sz w:val="20"/>
                <w:szCs w:val="20"/>
                <w:lang w:val="en-US"/>
              </w:rPr>
              <w:t>by fraud scams.</w:t>
            </w:r>
            <w:r w:rsidR="0088645E" w:rsidRPr="00126207">
              <w:rPr>
                <w:sz w:val="20"/>
                <w:szCs w:val="20"/>
                <w:lang w:val="en-US"/>
              </w:rPr>
              <w:t xml:space="preserve"> </w:t>
            </w:r>
            <w:r w:rsidR="00E53CD0" w:rsidRPr="00126207">
              <w:rPr>
                <w:sz w:val="20"/>
                <w:szCs w:val="20"/>
                <w:lang w:val="en-US"/>
              </w:rPr>
              <w:t xml:space="preserve">   </w:t>
            </w:r>
          </w:p>
          <w:p w14:paraId="3E0919F8" w14:textId="77777777" w:rsidR="00EB0649" w:rsidRPr="00126207" w:rsidRDefault="00EB0649" w:rsidP="00915505">
            <w:pPr>
              <w:rPr>
                <w:b/>
                <w:sz w:val="20"/>
                <w:szCs w:val="20"/>
                <w:lang w:val="en-US"/>
              </w:rPr>
            </w:pPr>
          </w:p>
          <w:p w14:paraId="7E361F86" w14:textId="77777777" w:rsidR="00915505" w:rsidRPr="00126207" w:rsidRDefault="00915505" w:rsidP="00915505">
            <w:pPr>
              <w:rPr>
                <w:b/>
                <w:sz w:val="20"/>
                <w:szCs w:val="20"/>
                <w:lang w:val="en-US"/>
              </w:rPr>
            </w:pPr>
            <w:r w:rsidRPr="00126207">
              <w:rPr>
                <w:b/>
                <w:sz w:val="20"/>
                <w:szCs w:val="20"/>
                <w:lang w:val="en-US"/>
              </w:rPr>
              <w:t>Management reports and briefing notes</w:t>
            </w:r>
          </w:p>
          <w:p w14:paraId="3EF22974" w14:textId="71CB07BB" w:rsidR="00CB0251" w:rsidRPr="00126207" w:rsidRDefault="00CB0251" w:rsidP="00CB0251">
            <w:pPr>
              <w:rPr>
                <w:sz w:val="20"/>
                <w:szCs w:val="20"/>
                <w:lang w:val="en-US"/>
              </w:rPr>
            </w:pPr>
            <w:r w:rsidRPr="00126207">
              <w:rPr>
                <w:sz w:val="20"/>
                <w:szCs w:val="20"/>
                <w:lang w:val="en-US"/>
              </w:rPr>
              <w:t>In</w:t>
            </w:r>
            <w:r w:rsidRPr="00126207">
              <w:rPr>
                <w:b/>
                <w:sz w:val="20"/>
                <w:szCs w:val="20"/>
                <w:lang w:val="en-US"/>
              </w:rPr>
              <w:t xml:space="preserve"> </w:t>
            </w:r>
            <w:r w:rsidRPr="00126207">
              <w:rPr>
                <w:sz w:val="20"/>
                <w:szCs w:val="20"/>
                <w:lang w:val="en-US"/>
              </w:rPr>
              <w:t xml:space="preserve">total, </w:t>
            </w:r>
            <w:r>
              <w:rPr>
                <w:sz w:val="20"/>
                <w:szCs w:val="20"/>
                <w:lang w:val="en-US"/>
              </w:rPr>
              <w:t>20</w:t>
            </w:r>
            <w:r w:rsidRPr="00126207">
              <w:rPr>
                <w:sz w:val="20"/>
                <w:szCs w:val="20"/>
                <w:lang w:val="en-US"/>
              </w:rPr>
              <w:t xml:space="preserve"> fraud risk recommendations contained within investigation reports</w:t>
            </w:r>
            <w:r w:rsidR="002878DA">
              <w:rPr>
                <w:sz w:val="20"/>
                <w:szCs w:val="20"/>
                <w:lang w:val="en-US"/>
              </w:rPr>
              <w:t xml:space="preserve"> </w:t>
            </w:r>
            <w:r w:rsidR="001962B4">
              <w:rPr>
                <w:sz w:val="20"/>
                <w:szCs w:val="20"/>
              </w:rPr>
              <w:t xml:space="preserve">and </w:t>
            </w:r>
            <w:r w:rsidRPr="00126207">
              <w:rPr>
                <w:sz w:val="20"/>
                <w:szCs w:val="20"/>
                <w:lang w:val="en-US"/>
              </w:rPr>
              <w:t xml:space="preserve">briefing notes have been made to management with all </w:t>
            </w:r>
            <w:r>
              <w:rPr>
                <w:sz w:val="20"/>
                <w:szCs w:val="20"/>
                <w:lang w:val="en-US"/>
              </w:rPr>
              <w:t>20</w:t>
            </w:r>
            <w:r w:rsidRPr="00126207">
              <w:rPr>
                <w:sz w:val="20"/>
                <w:szCs w:val="20"/>
                <w:lang w:val="en-US"/>
              </w:rPr>
              <w:t xml:space="preserve"> being agreed for implementation.  </w:t>
            </w:r>
          </w:p>
          <w:p w14:paraId="0C3BFA0F" w14:textId="182F3643" w:rsidR="00FC2E67" w:rsidRPr="00CB0251" w:rsidRDefault="00FC2E67" w:rsidP="00FC2E67">
            <w:pPr>
              <w:rPr>
                <w:b/>
                <w:sz w:val="20"/>
                <w:szCs w:val="20"/>
                <w:lang w:val="en-US"/>
              </w:rPr>
            </w:pPr>
            <w:r w:rsidRPr="00CB0251">
              <w:rPr>
                <w:b/>
                <w:sz w:val="20"/>
                <w:szCs w:val="20"/>
              </w:rPr>
              <w:t>KPI</w:t>
            </w:r>
            <w:r w:rsidR="00A31D7E" w:rsidRPr="00CB0251">
              <w:rPr>
                <w:b/>
                <w:sz w:val="20"/>
                <w:szCs w:val="20"/>
              </w:rPr>
              <w:t xml:space="preserve">5 target </w:t>
            </w:r>
            <w:r w:rsidR="00F85C4C" w:rsidRPr="00CB0251">
              <w:rPr>
                <w:b/>
                <w:sz w:val="20"/>
                <w:szCs w:val="20"/>
              </w:rPr>
              <w:t>8</w:t>
            </w:r>
            <w:r w:rsidR="00D30DE1" w:rsidRPr="00CB0251">
              <w:rPr>
                <w:b/>
                <w:sz w:val="20"/>
                <w:szCs w:val="20"/>
              </w:rPr>
              <w:t>5</w:t>
            </w:r>
            <w:r w:rsidR="00A31D7E" w:rsidRPr="00CB0251">
              <w:rPr>
                <w:b/>
                <w:sz w:val="20"/>
                <w:szCs w:val="20"/>
              </w:rPr>
              <w:t>%, achiev</w:t>
            </w:r>
            <w:r w:rsidR="00751F62" w:rsidRPr="00CB0251">
              <w:rPr>
                <w:b/>
                <w:sz w:val="20"/>
                <w:szCs w:val="20"/>
              </w:rPr>
              <w:t>ed</w:t>
            </w:r>
            <w:r w:rsidRPr="00CB0251">
              <w:rPr>
                <w:b/>
                <w:sz w:val="20"/>
                <w:szCs w:val="20"/>
              </w:rPr>
              <w:t xml:space="preserve"> </w:t>
            </w:r>
            <w:r w:rsidR="00F85C4C" w:rsidRPr="00CB0251">
              <w:rPr>
                <w:b/>
                <w:sz w:val="20"/>
                <w:szCs w:val="20"/>
              </w:rPr>
              <w:t>100</w:t>
            </w:r>
            <w:r w:rsidRPr="00CB0251">
              <w:rPr>
                <w:b/>
                <w:sz w:val="20"/>
                <w:szCs w:val="20"/>
              </w:rPr>
              <w:t>% (</w:t>
            </w:r>
            <w:r w:rsidR="00CB0251" w:rsidRPr="00CB0251">
              <w:rPr>
                <w:b/>
                <w:sz w:val="20"/>
                <w:szCs w:val="20"/>
              </w:rPr>
              <w:t>20/20)</w:t>
            </w:r>
            <w:r w:rsidRPr="00CB0251">
              <w:rPr>
                <w:b/>
                <w:sz w:val="20"/>
                <w:szCs w:val="20"/>
              </w:rPr>
              <w:t xml:space="preserve"> </w:t>
            </w:r>
            <w:r w:rsidRPr="00CB0251">
              <w:rPr>
                <w:b/>
                <w:sz w:val="20"/>
                <w:szCs w:val="20"/>
                <w:lang w:val="en-US"/>
              </w:rPr>
              <w:t xml:space="preserve">  </w:t>
            </w:r>
          </w:p>
          <w:p w14:paraId="73F4C1ED" w14:textId="77777777" w:rsidR="00E53CD0" w:rsidRPr="00126207" w:rsidRDefault="00E53CD0" w:rsidP="007877A0">
            <w:pPr>
              <w:rPr>
                <w:b/>
                <w:sz w:val="20"/>
                <w:szCs w:val="20"/>
                <w:lang w:val="en-US"/>
              </w:rPr>
            </w:pPr>
          </w:p>
          <w:p w14:paraId="0FC08EF2" w14:textId="77777777" w:rsidR="00E51CCA" w:rsidRPr="00126207" w:rsidRDefault="00E51CCA" w:rsidP="007877A0">
            <w:pPr>
              <w:rPr>
                <w:b/>
                <w:sz w:val="20"/>
                <w:szCs w:val="20"/>
                <w:lang w:val="en-US"/>
              </w:rPr>
            </w:pPr>
            <w:r w:rsidRPr="00126207">
              <w:rPr>
                <w:b/>
                <w:sz w:val="20"/>
                <w:szCs w:val="20"/>
                <w:lang w:val="en-US"/>
              </w:rPr>
              <w:t>Workshops</w:t>
            </w:r>
          </w:p>
          <w:p w14:paraId="6938987A" w14:textId="77F8B096" w:rsidR="00EB0649" w:rsidRPr="00126207" w:rsidRDefault="00C06466" w:rsidP="007877A0">
            <w:pPr>
              <w:rPr>
                <w:bCs/>
                <w:sz w:val="20"/>
                <w:szCs w:val="20"/>
                <w:lang w:val="en-US"/>
              </w:rPr>
            </w:pPr>
            <w:r>
              <w:rPr>
                <w:bCs/>
                <w:sz w:val="20"/>
                <w:szCs w:val="20"/>
                <w:lang w:val="en-US"/>
              </w:rPr>
              <w:t xml:space="preserve">3 Teams workshops </w:t>
            </w:r>
            <w:r w:rsidR="00D763AC">
              <w:rPr>
                <w:bCs/>
                <w:sz w:val="20"/>
                <w:szCs w:val="20"/>
                <w:lang w:val="en-US"/>
              </w:rPr>
              <w:t xml:space="preserve">covering general </w:t>
            </w:r>
            <w:r>
              <w:rPr>
                <w:bCs/>
                <w:sz w:val="20"/>
                <w:szCs w:val="20"/>
                <w:lang w:val="en-US"/>
              </w:rPr>
              <w:t xml:space="preserve">fraud awareness were delivered to employees in </w:t>
            </w:r>
            <w:r w:rsidR="00D763AC">
              <w:rPr>
                <w:bCs/>
                <w:sz w:val="20"/>
                <w:szCs w:val="20"/>
                <w:lang w:val="en-US"/>
              </w:rPr>
              <w:t xml:space="preserve">Housing Resident Services </w:t>
            </w:r>
            <w:r w:rsidR="00B55CFF">
              <w:rPr>
                <w:bCs/>
                <w:sz w:val="20"/>
                <w:szCs w:val="20"/>
                <w:lang w:val="en-US"/>
              </w:rPr>
              <w:t>(Housing Officers, Re</w:t>
            </w:r>
            <w:r w:rsidR="00B63069">
              <w:rPr>
                <w:bCs/>
                <w:sz w:val="20"/>
                <w:szCs w:val="20"/>
                <w:lang w:val="en-US"/>
              </w:rPr>
              <w:t>n</w:t>
            </w:r>
            <w:r w:rsidR="00B55CFF">
              <w:rPr>
                <w:bCs/>
                <w:sz w:val="20"/>
                <w:szCs w:val="20"/>
                <w:lang w:val="en-US"/>
              </w:rPr>
              <w:t>t Officer</w:t>
            </w:r>
            <w:r w:rsidR="00B63069">
              <w:rPr>
                <w:bCs/>
                <w:sz w:val="20"/>
                <w:szCs w:val="20"/>
                <w:lang w:val="en-US"/>
              </w:rPr>
              <w:t>s</w:t>
            </w:r>
            <w:r w:rsidR="00B55CFF">
              <w:rPr>
                <w:bCs/>
                <w:sz w:val="20"/>
                <w:szCs w:val="20"/>
                <w:lang w:val="en-US"/>
              </w:rPr>
              <w:t xml:space="preserve"> and Leasehold Officer</w:t>
            </w:r>
            <w:r w:rsidR="000E7402">
              <w:rPr>
                <w:bCs/>
                <w:sz w:val="20"/>
                <w:szCs w:val="20"/>
                <w:lang w:val="en-US"/>
              </w:rPr>
              <w:t>s</w:t>
            </w:r>
            <w:r w:rsidR="00B55CFF">
              <w:rPr>
                <w:bCs/>
                <w:sz w:val="20"/>
                <w:szCs w:val="20"/>
                <w:lang w:val="en-US"/>
              </w:rPr>
              <w:t>)</w:t>
            </w:r>
            <w:r w:rsidR="000E7402">
              <w:rPr>
                <w:bCs/>
                <w:sz w:val="20"/>
                <w:szCs w:val="20"/>
                <w:lang w:val="en-US"/>
              </w:rPr>
              <w:t xml:space="preserve"> </w:t>
            </w:r>
            <w:r w:rsidR="00D763AC">
              <w:rPr>
                <w:bCs/>
                <w:sz w:val="20"/>
                <w:szCs w:val="20"/>
                <w:lang w:val="en-US"/>
              </w:rPr>
              <w:t xml:space="preserve">in </w:t>
            </w:r>
            <w:proofErr w:type="spellStart"/>
            <w:r w:rsidR="00D763AC">
              <w:rPr>
                <w:bCs/>
                <w:sz w:val="20"/>
                <w:szCs w:val="20"/>
                <w:lang w:val="en-US"/>
              </w:rPr>
              <w:t>Qtr</w:t>
            </w:r>
            <w:proofErr w:type="spellEnd"/>
            <w:r w:rsidR="00D763AC">
              <w:rPr>
                <w:bCs/>
                <w:sz w:val="20"/>
                <w:szCs w:val="20"/>
                <w:lang w:val="en-US"/>
              </w:rPr>
              <w:t xml:space="preserve"> 3</w:t>
            </w:r>
            <w:r w:rsidR="000E7402">
              <w:rPr>
                <w:bCs/>
                <w:sz w:val="20"/>
                <w:szCs w:val="20"/>
                <w:lang w:val="en-US"/>
              </w:rPr>
              <w:t>.</w:t>
            </w:r>
          </w:p>
          <w:p w14:paraId="3B3E73DC" w14:textId="77777777" w:rsidR="00E53CD0" w:rsidRPr="00126207" w:rsidRDefault="00E53CD0" w:rsidP="007877A0">
            <w:pPr>
              <w:rPr>
                <w:b/>
                <w:sz w:val="20"/>
                <w:szCs w:val="20"/>
                <w:lang w:val="en-US"/>
              </w:rPr>
            </w:pPr>
          </w:p>
          <w:p w14:paraId="65EF9C35" w14:textId="77777777" w:rsidR="00E51CCA" w:rsidRPr="00126207" w:rsidRDefault="00E51CCA" w:rsidP="00904E47">
            <w:pPr>
              <w:rPr>
                <w:b/>
                <w:sz w:val="20"/>
                <w:szCs w:val="20"/>
                <w:lang w:val="en-US"/>
              </w:rPr>
            </w:pPr>
            <w:r w:rsidRPr="00126207">
              <w:rPr>
                <w:b/>
                <w:sz w:val="20"/>
                <w:szCs w:val="20"/>
                <w:lang w:val="en-US"/>
              </w:rPr>
              <w:t>Publicity</w:t>
            </w:r>
          </w:p>
          <w:p w14:paraId="47812BC6" w14:textId="77777777" w:rsidR="00963918" w:rsidRDefault="00E63EAB" w:rsidP="00904E47">
            <w:pPr>
              <w:rPr>
                <w:bCs/>
                <w:sz w:val="20"/>
                <w:szCs w:val="20"/>
                <w:lang w:val="en-US"/>
              </w:rPr>
            </w:pPr>
            <w:r>
              <w:rPr>
                <w:bCs/>
                <w:sz w:val="20"/>
                <w:szCs w:val="20"/>
                <w:lang w:val="en-US"/>
              </w:rPr>
              <w:t>There has been no external publicity undertaken this year</w:t>
            </w:r>
            <w:r w:rsidR="00030A45">
              <w:rPr>
                <w:bCs/>
                <w:sz w:val="20"/>
                <w:szCs w:val="20"/>
                <w:lang w:val="en-US"/>
              </w:rPr>
              <w:t>.</w:t>
            </w:r>
          </w:p>
          <w:p w14:paraId="34487C90" w14:textId="203C61D0" w:rsidR="007A0035" w:rsidRPr="00B75853" w:rsidRDefault="00E63EAB" w:rsidP="00904E47">
            <w:pPr>
              <w:rPr>
                <w:bCs/>
                <w:color w:val="FF0000"/>
                <w:sz w:val="20"/>
                <w:szCs w:val="20"/>
                <w:lang w:val="en-US"/>
              </w:rPr>
            </w:pPr>
            <w:r>
              <w:rPr>
                <w:bCs/>
                <w:sz w:val="20"/>
                <w:szCs w:val="20"/>
                <w:lang w:val="en-US"/>
              </w:rPr>
              <w:t xml:space="preserve"> </w:t>
            </w:r>
            <w:r w:rsidR="0088645E" w:rsidRPr="00126207">
              <w:rPr>
                <w:bCs/>
                <w:sz w:val="20"/>
                <w:szCs w:val="20"/>
                <w:lang w:val="en-US"/>
              </w:rPr>
              <w:t xml:space="preserve"> </w:t>
            </w:r>
          </w:p>
        </w:tc>
      </w:tr>
      <w:tr w:rsidR="0017605D" w:rsidRPr="0075312F" w14:paraId="22ED13B8" w14:textId="77777777" w:rsidTr="00B70289">
        <w:trPr>
          <w:trHeight w:val="251"/>
        </w:trPr>
        <w:tc>
          <w:tcPr>
            <w:tcW w:w="576" w:type="dxa"/>
            <w:tcBorders>
              <w:top w:val="single" w:sz="4" w:space="0" w:color="auto"/>
              <w:left w:val="single" w:sz="4" w:space="0" w:color="auto"/>
              <w:bottom w:val="single" w:sz="4" w:space="0" w:color="auto"/>
              <w:right w:val="single" w:sz="4" w:space="0" w:color="auto"/>
            </w:tcBorders>
          </w:tcPr>
          <w:p w14:paraId="27A2F8BD" w14:textId="1553FC94" w:rsidR="0017605D" w:rsidRPr="0075312F" w:rsidRDefault="00FD1D1E" w:rsidP="007816FE">
            <w:pPr>
              <w:rPr>
                <w:sz w:val="20"/>
                <w:szCs w:val="20"/>
                <w:lang w:val="en-US"/>
              </w:rPr>
            </w:pPr>
            <w:r>
              <w:rPr>
                <w:sz w:val="20"/>
                <w:szCs w:val="20"/>
                <w:lang w:val="en-US"/>
              </w:rPr>
              <w:t>7</w:t>
            </w:r>
            <w:r w:rsidR="0017605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322D2DDF" w14:textId="77777777" w:rsidR="0017605D" w:rsidRPr="007C6042" w:rsidRDefault="0017605D" w:rsidP="003B2A35">
            <w:pPr>
              <w:rPr>
                <w:b/>
                <w:sz w:val="20"/>
                <w:szCs w:val="20"/>
                <w:lang w:val="en-US"/>
              </w:rPr>
            </w:pPr>
            <w:r w:rsidRPr="007C6042">
              <w:rPr>
                <w:b/>
                <w:sz w:val="20"/>
                <w:szCs w:val="20"/>
                <w:lang w:val="en-US"/>
              </w:rPr>
              <w:t>Fraud liaison</w:t>
            </w:r>
          </w:p>
          <w:p w14:paraId="0A459B3B" w14:textId="77777777" w:rsidR="0017605D" w:rsidRPr="007C6042" w:rsidRDefault="0017605D" w:rsidP="003B2A35">
            <w:pPr>
              <w:rPr>
                <w:b/>
                <w:sz w:val="20"/>
                <w:szCs w:val="20"/>
                <w:lang w:val="en-US"/>
              </w:rPr>
            </w:pPr>
          </w:p>
          <w:p w14:paraId="106B4265" w14:textId="77777777" w:rsidR="00480BD4" w:rsidRDefault="00480BD4" w:rsidP="00480BD4">
            <w:pPr>
              <w:pStyle w:val="Default"/>
              <w:rPr>
                <w:sz w:val="20"/>
                <w:szCs w:val="20"/>
              </w:rPr>
            </w:pPr>
            <w:r>
              <w:rPr>
                <w:sz w:val="20"/>
                <w:szCs w:val="20"/>
              </w:rPr>
              <w:t xml:space="preserve">Explore, develop and maintain effective liaison with investigation teams in other boroughs and external agencies and ensure that membership and interest </w:t>
            </w:r>
            <w:proofErr w:type="gramStart"/>
            <w:r>
              <w:rPr>
                <w:sz w:val="20"/>
                <w:szCs w:val="20"/>
              </w:rPr>
              <w:t>continues</w:t>
            </w:r>
            <w:proofErr w:type="gramEnd"/>
            <w:r>
              <w:rPr>
                <w:sz w:val="20"/>
                <w:szCs w:val="20"/>
              </w:rPr>
              <w:t xml:space="preserve"> in the London Borough of Fraud Investigators Group (LBFIG), The National Anti-Fraud Network (NAFN), The Chartered Institute of Public Finance and Accountancy (CIPFA) and </w:t>
            </w:r>
            <w:proofErr w:type="spellStart"/>
            <w:r>
              <w:rPr>
                <w:sz w:val="20"/>
                <w:szCs w:val="20"/>
              </w:rPr>
              <w:t>Cifas</w:t>
            </w:r>
            <w:proofErr w:type="spellEnd"/>
            <w:r>
              <w:rPr>
                <w:sz w:val="20"/>
                <w:szCs w:val="20"/>
              </w:rPr>
              <w:t xml:space="preserve"> </w:t>
            </w:r>
          </w:p>
          <w:p w14:paraId="400CF4DD" w14:textId="77777777" w:rsidR="0017605D" w:rsidRPr="007C6042" w:rsidRDefault="0017605D" w:rsidP="003B2A35">
            <w:pPr>
              <w:rPr>
                <w:b/>
                <w:sz w:val="20"/>
                <w:szCs w:val="20"/>
                <w:lang w:val="en-US"/>
              </w:rPr>
            </w:pPr>
          </w:p>
        </w:tc>
        <w:tc>
          <w:tcPr>
            <w:tcW w:w="6095" w:type="dxa"/>
            <w:tcBorders>
              <w:top w:val="single" w:sz="4" w:space="0" w:color="auto"/>
              <w:left w:val="nil"/>
              <w:bottom w:val="single" w:sz="4" w:space="0" w:color="auto"/>
              <w:right w:val="single" w:sz="4" w:space="0" w:color="auto"/>
            </w:tcBorders>
            <w:shd w:val="clear" w:color="auto" w:fill="auto"/>
          </w:tcPr>
          <w:p w14:paraId="4C1AA9C3" w14:textId="158C09CB" w:rsidR="0017605D" w:rsidRPr="007C6042" w:rsidRDefault="00AD7CDC" w:rsidP="001A1505">
            <w:pPr>
              <w:rPr>
                <w:b/>
                <w:sz w:val="20"/>
                <w:szCs w:val="20"/>
              </w:rPr>
            </w:pPr>
            <w:r>
              <w:rPr>
                <w:b/>
                <w:sz w:val="20"/>
                <w:szCs w:val="20"/>
              </w:rPr>
              <w:t xml:space="preserve">Objective </w:t>
            </w:r>
            <w:r w:rsidR="008F099F">
              <w:rPr>
                <w:b/>
                <w:sz w:val="20"/>
                <w:szCs w:val="20"/>
              </w:rPr>
              <w:t>achieved</w:t>
            </w:r>
          </w:p>
          <w:p w14:paraId="35EF71C3" w14:textId="77777777" w:rsidR="0017605D" w:rsidRPr="007C6042" w:rsidRDefault="0017605D" w:rsidP="001A1505">
            <w:pPr>
              <w:rPr>
                <w:sz w:val="20"/>
                <w:szCs w:val="20"/>
              </w:rPr>
            </w:pPr>
          </w:p>
          <w:p w14:paraId="3DEC0A1A" w14:textId="77777777" w:rsidR="0017605D" w:rsidRPr="00F85C4C" w:rsidRDefault="0017605D" w:rsidP="001A1505">
            <w:pPr>
              <w:rPr>
                <w:sz w:val="20"/>
                <w:szCs w:val="20"/>
              </w:rPr>
            </w:pPr>
            <w:r w:rsidRPr="00F85C4C">
              <w:rPr>
                <w:sz w:val="20"/>
                <w:szCs w:val="20"/>
              </w:rPr>
              <w:t xml:space="preserve">The authority </w:t>
            </w:r>
            <w:r w:rsidR="00F85C4C" w:rsidRPr="00F85C4C">
              <w:rPr>
                <w:sz w:val="20"/>
                <w:szCs w:val="20"/>
              </w:rPr>
              <w:t xml:space="preserve">continued </w:t>
            </w:r>
            <w:r w:rsidRPr="00F85C4C">
              <w:rPr>
                <w:sz w:val="20"/>
                <w:szCs w:val="20"/>
              </w:rPr>
              <w:t xml:space="preserve">its membership of the National </w:t>
            </w:r>
            <w:proofErr w:type="spellStart"/>
            <w:r w:rsidRPr="00F85C4C">
              <w:rPr>
                <w:sz w:val="20"/>
                <w:szCs w:val="20"/>
              </w:rPr>
              <w:t>Anti Fraud</w:t>
            </w:r>
            <w:proofErr w:type="spellEnd"/>
            <w:r w:rsidRPr="00F85C4C">
              <w:rPr>
                <w:sz w:val="20"/>
                <w:szCs w:val="20"/>
              </w:rPr>
              <w:t xml:space="preserve"> Network (NAFN) for its essential role in intelligence </w:t>
            </w:r>
            <w:r w:rsidR="00F85C4C">
              <w:rPr>
                <w:sz w:val="20"/>
                <w:szCs w:val="20"/>
              </w:rPr>
              <w:t xml:space="preserve">and evidence </w:t>
            </w:r>
            <w:r w:rsidRPr="00F85C4C">
              <w:rPr>
                <w:sz w:val="20"/>
                <w:szCs w:val="20"/>
              </w:rPr>
              <w:t xml:space="preserve">gathering and the London Borough of Fraud Investigators Group (LBFIG).  NAFN is an essential </w:t>
            </w:r>
            <w:r w:rsidR="00F85C4C" w:rsidRPr="00F85C4C">
              <w:rPr>
                <w:sz w:val="20"/>
                <w:szCs w:val="20"/>
              </w:rPr>
              <w:t>service</w:t>
            </w:r>
            <w:r w:rsidRPr="00F85C4C">
              <w:rPr>
                <w:sz w:val="20"/>
                <w:szCs w:val="20"/>
              </w:rPr>
              <w:t xml:space="preserve"> for accessing 3</w:t>
            </w:r>
            <w:r w:rsidRPr="00F85C4C">
              <w:rPr>
                <w:sz w:val="20"/>
                <w:szCs w:val="20"/>
                <w:vertAlign w:val="superscript"/>
              </w:rPr>
              <w:t>rd</w:t>
            </w:r>
            <w:r w:rsidRPr="00F85C4C">
              <w:rPr>
                <w:sz w:val="20"/>
                <w:szCs w:val="20"/>
              </w:rPr>
              <w:t xml:space="preserve"> party information sources which is vital for supporting investigation work.  </w:t>
            </w:r>
          </w:p>
          <w:p w14:paraId="234C4D21" w14:textId="77777777" w:rsidR="0017605D" w:rsidRPr="00F85C4C" w:rsidRDefault="0017605D" w:rsidP="001A1505">
            <w:pPr>
              <w:rPr>
                <w:sz w:val="20"/>
                <w:szCs w:val="20"/>
              </w:rPr>
            </w:pPr>
          </w:p>
          <w:p w14:paraId="4137C1FB" w14:textId="79684417" w:rsidR="00BF05CB" w:rsidRPr="00F85C4C" w:rsidRDefault="0017605D" w:rsidP="001A1505">
            <w:pPr>
              <w:rPr>
                <w:sz w:val="20"/>
                <w:szCs w:val="20"/>
              </w:rPr>
            </w:pPr>
            <w:r w:rsidRPr="00F85C4C">
              <w:rPr>
                <w:sz w:val="20"/>
                <w:szCs w:val="20"/>
              </w:rPr>
              <w:t xml:space="preserve">Officers in the team have also attended a number of </w:t>
            </w:r>
            <w:r w:rsidR="00BF05CB" w:rsidRPr="00F85C4C">
              <w:rPr>
                <w:sz w:val="20"/>
                <w:szCs w:val="20"/>
              </w:rPr>
              <w:t>virtual</w:t>
            </w:r>
            <w:r w:rsidR="005060EE">
              <w:rPr>
                <w:sz w:val="20"/>
                <w:szCs w:val="20"/>
              </w:rPr>
              <w:t xml:space="preserve"> and face to face</w:t>
            </w:r>
            <w:r w:rsidR="00BF05CB" w:rsidRPr="00F85C4C">
              <w:rPr>
                <w:sz w:val="20"/>
                <w:szCs w:val="20"/>
              </w:rPr>
              <w:t xml:space="preserve"> </w:t>
            </w:r>
            <w:r w:rsidR="006B0B70">
              <w:rPr>
                <w:sz w:val="20"/>
                <w:szCs w:val="20"/>
              </w:rPr>
              <w:t>c</w:t>
            </w:r>
            <w:r w:rsidRPr="00F85C4C">
              <w:rPr>
                <w:sz w:val="20"/>
                <w:szCs w:val="20"/>
              </w:rPr>
              <w:t xml:space="preserve">ounter </w:t>
            </w:r>
            <w:r w:rsidR="006B0B70">
              <w:rPr>
                <w:sz w:val="20"/>
                <w:szCs w:val="20"/>
              </w:rPr>
              <w:t>f</w:t>
            </w:r>
            <w:r w:rsidRPr="00F85C4C">
              <w:rPr>
                <w:sz w:val="20"/>
                <w:szCs w:val="20"/>
              </w:rPr>
              <w:t xml:space="preserve">raud </w:t>
            </w:r>
            <w:r w:rsidR="00BF05CB" w:rsidRPr="00F85C4C">
              <w:rPr>
                <w:sz w:val="20"/>
                <w:szCs w:val="20"/>
              </w:rPr>
              <w:t>training events</w:t>
            </w:r>
            <w:r w:rsidRPr="00F85C4C">
              <w:rPr>
                <w:sz w:val="20"/>
                <w:szCs w:val="20"/>
              </w:rPr>
              <w:t xml:space="preserve"> during the</w:t>
            </w:r>
            <w:r w:rsidR="006812F2">
              <w:rPr>
                <w:sz w:val="20"/>
                <w:szCs w:val="20"/>
              </w:rPr>
              <w:t xml:space="preserve"> year.</w:t>
            </w:r>
            <w:r w:rsidRPr="00F85C4C">
              <w:rPr>
                <w:sz w:val="20"/>
                <w:szCs w:val="20"/>
              </w:rPr>
              <w:t xml:space="preserve"> </w:t>
            </w:r>
          </w:p>
          <w:p w14:paraId="13198F9B" w14:textId="77777777" w:rsidR="0017605D" w:rsidRPr="00F85C4C" w:rsidRDefault="0017605D" w:rsidP="001A1505">
            <w:pPr>
              <w:rPr>
                <w:sz w:val="20"/>
                <w:szCs w:val="20"/>
              </w:rPr>
            </w:pPr>
            <w:r w:rsidRPr="00F85C4C">
              <w:rPr>
                <w:sz w:val="20"/>
                <w:szCs w:val="20"/>
              </w:rPr>
              <w:t xml:space="preserve"> </w:t>
            </w:r>
          </w:p>
          <w:p w14:paraId="56A6E37B" w14:textId="77777777" w:rsidR="007D1688" w:rsidRPr="00F85C4C" w:rsidRDefault="0017605D" w:rsidP="005F7FEC">
            <w:pPr>
              <w:rPr>
                <w:sz w:val="20"/>
                <w:szCs w:val="20"/>
              </w:rPr>
            </w:pPr>
            <w:r w:rsidRPr="00F85C4C">
              <w:rPr>
                <w:sz w:val="20"/>
                <w:szCs w:val="20"/>
              </w:rPr>
              <w:t xml:space="preserve">Established partnerships with the </w:t>
            </w:r>
            <w:r w:rsidR="00BF05CB" w:rsidRPr="00F85C4C">
              <w:rPr>
                <w:sz w:val="20"/>
                <w:szCs w:val="20"/>
              </w:rPr>
              <w:t>Immigration Enforcement Department</w:t>
            </w:r>
            <w:r w:rsidRPr="00F85C4C">
              <w:rPr>
                <w:sz w:val="20"/>
                <w:szCs w:val="20"/>
              </w:rPr>
              <w:t xml:space="preserve">, HMRC, the Home Office, the Metropolitan Police and other enforcement agencies </w:t>
            </w:r>
            <w:r w:rsidR="007D1688" w:rsidRPr="00F85C4C">
              <w:rPr>
                <w:sz w:val="20"/>
                <w:szCs w:val="20"/>
              </w:rPr>
              <w:t>continue to prove essential to investigative work</w:t>
            </w:r>
            <w:r w:rsidRPr="00F85C4C">
              <w:rPr>
                <w:sz w:val="20"/>
                <w:szCs w:val="20"/>
              </w:rPr>
              <w:t>.</w:t>
            </w:r>
          </w:p>
          <w:p w14:paraId="5B71CC09" w14:textId="77777777" w:rsidR="00F85C4C" w:rsidRPr="00F85C4C" w:rsidRDefault="00F85C4C" w:rsidP="005F7FEC">
            <w:pPr>
              <w:rPr>
                <w:sz w:val="20"/>
                <w:szCs w:val="20"/>
              </w:rPr>
            </w:pPr>
          </w:p>
          <w:p w14:paraId="37AD53C1" w14:textId="02F012C6" w:rsidR="00F85C4C" w:rsidRPr="00F85C4C" w:rsidRDefault="004B6F77" w:rsidP="005F7FEC">
            <w:pPr>
              <w:rPr>
                <w:sz w:val="20"/>
                <w:szCs w:val="20"/>
              </w:rPr>
            </w:pPr>
            <w:r>
              <w:rPr>
                <w:sz w:val="20"/>
                <w:szCs w:val="20"/>
              </w:rPr>
              <w:t xml:space="preserve">Membership of </w:t>
            </w:r>
            <w:proofErr w:type="spellStart"/>
            <w:r w:rsidR="00F85C4C" w:rsidRPr="00F85C4C">
              <w:rPr>
                <w:sz w:val="20"/>
                <w:szCs w:val="20"/>
              </w:rPr>
              <w:t>Cifas</w:t>
            </w:r>
            <w:proofErr w:type="spellEnd"/>
            <w:r w:rsidR="00F85C4C" w:rsidRPr="00F85C4C">
              <w:rPr>
                <w:sz w:val="20"/>
                <w:szCs w:val="20"/>
              </w:rPr>
              <w:t xml:space="preserve"> </w:t>
            </w:r>
            <w:r w:rsidR="006B0B70">
              <w:rPr>
                <w:sz w:val="20"/>
                <w:szCs w:val="20"/>
              </w:rPr>
              <w:t>was</w:t>
            </w:r>
            <w:r w:rsidR="00F85C4C" w:rsidRPr="00F85C4C">
              <w:rPr>
                <w:sz w:val="20"/>
                <w:szCs w:val="20"/>
              </w:rPr>
              <w:t xml:space="preserve"> continu</w:t>
            </w:r>
            <w:r w:rsidR="00C579D2">
              <w:rPr>
                <w:sz w:val="20"/>
                <w:szCs w:val="20"/>
              </w:rPr>
              <w:t>ed</w:t>
            </w:r>
            <w:r w:rsidR="00F85C4C" w:rsidRPr="00F85C4C">
              <w:rPr>
                <w:sz w:val="20"/>
                <w:szCs w:val="20"/>
              </w:rPr>
              <w:t xml:space="preserve"> </w:t>
            </w:r>
            <w:r w:rsidR="00D337A0">
              <w:rPr>
                <w:sz w:val="20"/>
                <w:szCs w:val="20"/>
              </w:rPr>
              <w:t xml:space="preserve">for 2021-22 </w:t>
            </w:r>
            <w:r w:rsidR="00C579D2">
              <w:rPr>
                <w:sz w:val="20"/>
                <w:szCs w:val="20"/>
              </w:rPr>
              <w:t xml:space="preserve">and preparations were underway to join the Internal Fraud database </w:t>
            </w:r>
            <w:r w:rsidR="006B0B70">
              <w:rPr>
                <w:sz w:val="20"/>
                <w:szCs w:val="20"/>
              </w:rPr>
              <w:t xml:space="preserve">(in addition </w:t>
            </w:r>
            <w:r w:rsidR="001E116B">
              <w:rPr>
                <w:sz w:val="20"/>
                <w:szCs w:val="20"/>
              </w:rPr>
              <w:t xml:space="preserve">to </w:t>
            </w:r>
            <w:r w:rsidR="001E116B">
              <w:rPr>
                <w:sz w:val="20"/>
                <w:szCs w:val="20"/>
              </w:rPr>
              <w:lastRenderedPageBreak/>
              <w:t xml:space="preserve">the National Fraud Database) </w:t>
            </w:r>
            <w:r w:rsidR="00C579D2">
              <w:rPr>
                <w:sz w:val="20"/>
                <w:szCs w:val="20"/>
              </w:rPr>
              <w:t>membership in 2022/23 to commence employee screening</w:t>
            </w:r>
            <w:r w:rsidR="008C2EA1">
              <w:rPr>
                <w:sz w:val="20"/>
                <w:szCs w:val="20"/>
              </w:rPr>
              <w:t>.</w:t>
            </w:r>
            <w:r w:rsidR="00C579D2">
              <w:rPr>
                <w:sz w:val="20"/>
                <w:szCs w:val="20"/>
              </w:rPr>
              <w:t xml:space="preserve">  </w:t>
            </w:r>
          </w:p>
          <w:p w14:paraId="0F72EED4" w14:textId="77777777" w:rsidR="00554FB3" w:rsidRDefault="00554FB3" w:rsidP="005F7FEC">
            <w:pPr>
              <w:rPr>
                <w:sz w:val="20"/>
                <w:szCs w:val="20"/>
              </w:rPr>
            </w:pPr>
          </w:p>
          <w:p w14:paraId="4740FB14" w14:textId="77777777" w:rsidR="0017605D" w:rsidRPr="007C6042" w:rsidRDefault="0017605D" w:rsidP="005F7FEC">
            <w:pPr>
              <w:rPr>
                <w:sz w:val="20"/>
                <w:szCs w:val="20"/>
                <w:lang w:val="en-US"/>
              </w:rPr>
            </w:pPr>
          </w:p>
        </w:tc>
      </w:tr>
      <w:tr w:rsidR="00437EEA" w:rsidRPr="0075312F" w14:paraId="0888271B" w14:textId="77777777" w:rsidTr="00B70289">
        <w:trPr>
          <w:trHeight w:val="251"/>
        </w:trPr>
        <w:tc>
          <w:tcPr>
            <w:tcW w:w="576" w:type="dxa"/>
            <w:tcBorders>
              <w:top w:val="single" w:sz="4" w:space="0" w:color="auto"/>
              <w:left w:val="single" w:sz="4" w:space="0" w:color="auto"/>
              <w:bottom w:val="single" w:sz="4" w:space="0" w:color="auto"/>
              <w:right w:val="single" w:sz="4" w:space="0" w:color="auto"/>
            </w:tcBorders>
          </w:tcPr>
          <w:p w14:paraId="28156590" w14:textId="3F60AB5C" w:rsidR="00437EEA" w:rsidRDefault="00437EEA" w:rsidP="007816FE">
            <w:pPr>
              <w:rPr>
                <w:sz w:val="20"/>
                <w:szCs w:val="20"/>
                <w:lang w:val="en-US"/>
              </w:rPr>
            </w:pPr>
            <w:r>
              <w:rPr>
                <w:sz w:val="20"/>
                <w:szCs w:val="20"/>
                <w:lang w:val="en-US"/>
              </w:rPr>
              <w:lastRenderedPageBreak/>
              <w:t>8.</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412757EB" w14:textId="77777777" w:rsidR="00437EEA" w:rsidRDefault="00437EEA" w:rsidP="003B2A35">
            <w:pPr>
              <w:rPr>
                <w:b/>
                <w:sz w:val="20"/>
                <w:szCs w:val="20"/>
                <w:lang w:val="en-US"/>
              </w:rPr>
            </w:pPr>
            <w:r>
              <w:rPr>
                <w:b/>
                <w:sz w:val="20"/>
                <w:szCs w:val="20"/>
                <w:lang w:val="en-US"/>
              </w:rPr>
              <w:t>Internal Data</w:t>
            </w:r>
            <w:r w:rsidR="00A3723F">
              <w:rPr>
                <w:b/>
                <w:sz w:val="20"/>
                <w:szCs w:val="20"/>
                <w:lang w:val="en-US"/>
              </w:rPr>
              <w:t>-</w:t>
            </w:r>
            <w:r>
              <w:rPr>
                <w:b/>
                <w:sz w:val="20"/>
                <w:szCs w:val="20"/>
                <w:lang w:val="en-US"/>
              </w:rPr>
              <w:t>mat</w:t>
            </w:r>
            <w:r w:rsidR="00A3723F">
              <w:rPr>
                <w:b/>
                <w:sz w:val="20"/>
                <w:szCs w:val="20"/>
                <w:lang w:val="en-US"/>
              </w:rPr>
              <w:t>c</w:t>
            </w:r>
            <w:r>
              <w:rPr>
                <w:b/>
                <w:sz w:val="20"/>
                <w:szCs w:val="20"/>
                <w:lang w:val="en-US"/>
              </w:rPr>
              <w:t>hing</w:t>
            </w:r>
          </w:p>
          <w:p w14:paraId="37A002C7" w14:textId="77777777" w:rsidR="002400C4" w:rsidRDefault="002400C4" w:rsidP="003B2A35">
            <w:pPr>
              <w:rPr>
                <w:b/>
                <w:sz w:val="20"/>
                <w:szCs w:val="20"/>
                <w:lang w:val="en-US"/>
              </w:rPr>
            </w:pPr>
          </w:p>
          <w:p w14:paraId="747F9283" w14:textId="77777777" w:rsidR="002400C4" w:rsidRDefault="002400C4" w:rsidP="002400C4">
            <w:pPr>
              <w:pStyle w:val="Default"/>
              <w:rPr>
                <w:sz w:val="20"/>
                <w:szCs w:val="20"/>
              </w:rPr>
            </w:pPr>
            <w:r>
              <w:rPr>
                <w:sz w:val="20"/>
                <w:szCs w:val="20"/>
              </w:rPr>
              <w:t xml:space="preserve">Undertake an internal proactive drive using </w:t>
            </w:r>
            <w:proofErr w:type="spellStart"/>
            <w:r>
              <w:rPr>
                <w:sz w:val="20"/>
                <w:szCs w:val="20"/>
              </w:rPr>
              <w:t>iDIS</w:t>
            </w:r>
            <w:proofErr w:type="spellEnd"/>
            <w:r>
              <w:rPr>
                <w:sz w:val="20"/>
                <w:szCs w:val="20"/>
              </w:rPr>
              <w:t xml:space="preserve"> (fraud case management system tool) in an area assessed to be at high risk to fraud </w:t>
            </w:r>
          </w:p>
          <w:p w14:paraId="57E61CAE" w14:textId="1D649B21" w:rsidR="002400C4" w:rsidRPr="007C6042" w:rsidRDefault="002400C4" w:rsidP="003B2A35">
            <w:pPr>
              <w:rPr>
                <w:b/>
                <w:sz w:val="20"/>
                <w:szCs w:val="20"/>
                <w:lang w:val="en-US"/>
              </w:rPr>
            </w:pPr>
          </w:p>
        </w:tc>
        <w:tc>
          <w:tcPr>
            <w:tcW w:w="6095" w:type="dxa"/>
            <w:tcBorders>
              <w:top w:val="single" w:sz="4" w:space="0" w:color="auto"/>
              <w:left w:val="nil"/>
              <w:bottom w:val="single" w:sz="4" w:space="0" w:color="auto"/>
              <w:right w:val="single" w:sz="4" w:space="0" w:color="auto"/>
            </w:tcBorders>
            <w:shd w:val="clear" w:color="auto" w:fill="auto"/>
          </w:tcPr>
          <w:p w14:paraId="648A66B8" w14:textId="24F2ED51" w:rsidR="00437EEA" w:rsidRDefault="00E039A9" w:rsidP="001A1505">
            <w:pPr>
              <w:rPr>
                <w:b/>
                <w:sz w:val="20"/>
                <w:szCs w:val="20"/>
              </w:rPr>
            </w:pPr>
            <w:r>
              <w:rPr>
                <w:b/>
                <w:sz w:val="20"/>
                <w:szCs w:val="20"/>
              </w:rPr>
              <w:t xml:space="preserve">Objective not </w:t>
            </w:r>
            <w:r w:rsidR="00E17010">
              <w:rPr>
                <w:b/>
                <w:sz w:val="20"/>
                <w:szCs w:val="20"/>
              </w:rPr>
              <w:t>undert</w:t>
            </w:r>
            <w:r w:rsidR="00BB1228">
              <w:rPr>
                <w:b/>
                <w:sz w:val="20"/>
                <w:szCs w:val="20"/>
              </w:rPr>
              <w:t>aken</w:t>
            </w:r>
          </w:p>
          <w:p w14:paraId="30CADDC4" w14:textId="77777777" w:rsidR="00A3723F" w:rsidRDefault="00A3723F" w:rsidP="001A1505">
            <w:pPr>
              <w:rPr>
                <w:b/>
                <w:sz w:val="20"/>
                <w:szCs w:val="20"/>
              </w:rPr>
            </w:pPr>
          </w:p>
          <w:p w14:paraId="31F31835" w14:textId="43256A70" w:rsidR="00A3723F" w:rsidRPr="00BC7442" w:rsidRDefault="00496ECF" w:rsidP="001A1505">
            <w:pPr>
              <w:rPr>
                <w:bCs/>
                <w:sz w:val="20"/>
                <w:szCs w:val="20"/>
              </w:rPr>
            </w:pPr>
            <w:r w:rsidRPr="00BC7442">
              <w:rPr>
                <w:bCs/>
                <w:sz w:val="20"/>
                <w:szCs w:val="20"/>
              </w:rPr>
              <w:t xml:space="preserve">No </w:t>
            </w:r>
            <w:r w:rsidR="0087143A" w:rsidRPr="00BC7442">
              <w:rPr>
                <w:bCs/>
                <w:sz w:val="20"/>
                <w:szCs w:val="20"/>
              </w:rPr>
              <w:t>internal proactive drive was undertaken</w:t>
            </w:r>
            <w:r w:rsidR="006F67E7">
              <w:rPr>
                <w:bCs/>
                <w:sz w:val="20"/>
                <w:szCs w:val="20"/>
              </w:rPr>
              <w:t xml:space="preserve"> </w:t>
            </w:r>
            <w:r w:rsidR="001D33F4">
              <w:rPr>
                <w:bCs/>
                <w:sz w:val="20"/>
                <w:szCs w:val="20"/>
              </w:rPr>
              <w:t xml:space="preserve">due to other higher </w:t>
            </w:r>
            <w:r w:rsidR="00BB1228">
              <w:rPr>
                <w:bCs/>
                <w:sz w:val="20"/>
                <w:szCs w:val="20"/>
              </w:rPr>
              <w:t xml:space="preserve">risk </w:t>
            </w:r>
            <w:r w:rsidR="001D33F4">
              <w:rPr>
                <w:bCs/>
                <w:sz w:val="20"/>
                <w:szCs w:val="20"/>
              </w:rPr>
              <w:t xml:space="preserve">priority work </w:t>
            </w:r>
          </w:p>
          <w:p w14:paraId="20560165" w14:textId="77777777" w:rsidR="00A3723F" w:rsidRDefault="00A3723F" w:rsidP="001A1505">
            <w:pPr>
              <w:rPr>
                <w:b/>
                <w:sz w:val="20"/>
                <w:szCs w:val="20"/>
              </w:rPr>
            </w:pPr>
          </w:p>
          <w:p w14:paraId="37268B12" w14:textId="77777777" w:rsidR="00A3723F" w:rsidRDefault="00A3723F" w:rsidP="001A1505">
            <w:pPr>
              <w:rPr>
                <w:b/>
                <w:sz w:val="20"/>
                <w:szCs w:val="20"/>
              </w:rPr>
            </w:pPr>
          </w:p>
          <w:p w14:paraId="334EF239" w14:textId="77777777" w:rsidR="00A3723F" w:rsidRDefault="00A3723F" w:rsidP="001A1505">
            <w:pPr>
              <w:rPr>
                <w:b/>
                <w:sz w:val="20"/>
                <w:szCs w:val="20"/>
              </w:rPr>
            </w:pPr>
          </w:p>
          <w:p w14:paraId="31E7111C" w14:textId="5CB1FD4A" w:rsidR="00A3723F" w:rsidRDefault="00A3723F" w:rsidP="001A1505">
            <w:pPr>
              <w:rPr>
                <w:b/>
                <w:sz w:val="20"/>
                <w:szCs w:val="20"/>
              </w:rPr>
            </w:pPr>
          </w:p>
        </w:tc>
      </w:tr>
    </w:tbl>
    <w:p w14:paraId="7C1A516E" w14:textId="77777777" w:rsidR="0017605D" w:rsidRDefault="0017605D">
      <w:r>
        <w:br w:type="page"/>
      </w:r>
    </w:p>
    <w:tbl>
      <w:tblPr>
        <w:tblW w:w="10490" w:type="dxa"/>
        <w:tblInd w:w="-34" w:type="dxa"/>
        <w:tblLayout w:type="fixed"/>
        <w:tblLook w:val="0000" w:firstRow="0" w:lastRow="0" w:firstColumn="0" w:lastColumn="0" w:noHBand="0" w:noVBand="0"/>
      </w:tblPr>
      <w:tblGrid>
        <w:gridCol w:w="576"/>
        <w:gridCol w:w="3961"/>
        <w:gridCol w:w="5953"/>
      </w:tblGrid>
      <w:tr w:rsidR="0017605D" w:rsidRPr="00380629" w14:paraId="7804CC7F" w14:textId="77777777" w:rsidTr="003326D7">
        <w:trPr>
          <w:trHeight w:val="282"/>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18B2F621" w14:textId="77777777" w:rsidR="0017605D" w:rsidRDefault="0017605D" w:rsidP="00D67E75">
            <w:pPr>
              <w:rPr>
                <w:b/>
                <w:bCs/>
                <w:sz w:val="20"/>
                <w:szCs w:val="20"/>
                <w:lang w:val="en-US"/>
              </w:rPr>
            </w:pPr>
          </w:p>
        </w:tc>
        <w:tc>
          <w:tcPr>
            <w:tcW w:w="3961"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24990B8F" w14:textId="77777777" w:rsidR="0017605D" w:rsidRPr="001E0720" w:rsidRDefault="0017605D" w:rsidP="003326D7">
            <w:pPr>
              <w:rPr>
                <w:b/>
                <w:bCs/>
                <w:sz w:val="20"/>
                <w:szCs w:val="20"/>
                <w:lang w:val="en-US"/>
              </w:rPr>
            </w:pPr>
            <w:r w:rsidRPr="001E0720">
              <w:rPr>
                <w:b/>
                <w:bCs/>
                <w:sz w:val="20"/>
                <w:szCs w:val="20"/>
                <w:lang w:val="en-US"/>
              </w:rPr>
              <w:t>Fraud work stream</w:t>
            </w:r>
          </w:p>
        </w:tc>
        <w:tc>
          <w:tcPr>
            <w:tcW w:w="5953" w:type="dxa"/>
            <w:tcBorders>
              <w:top w:val="single" w:sz="4" w:space="0" w:color="auto"/>
              <w:left w:val="nil"/>
              <w:bottom w:val="single" w:sz="4" w:space="0" w:color="auto"/>
              <w:right w:val="single" w:sz="4" w:space="0" w:color="auto"/>
            </w:tcBorders>
            <w:shd w:val="clear" w:color="auto" w:fill="17365D"/>
            <w:vAlign w:val="center"/>
          </w:tcPr>
          <w:p w14:paraId="1E5D2FF0" w14:textId="77777777" w:rsidR="0017605D" w:rsidRPr="001E0720" w:rsidRDefault="003326D7" w:rsidP="00D67E75">
            <w:pPr>
              <w:rPr>
                <w:b/>
                <w:bCs/>
                <w:sz w:val="20"/>
                <w:szCs w:val="20"/>
                <w:lang w:val="en-US"/>
              </w:rPr>
            </w:pPr>
            <w:r w:rsidRPr="001E0720">
              <w:rPr>
                <w:b/>
                <w:bCs/>
                <w:sz w:val="20"/>
                <w:szCs w:val="20"/>
                <w:lang w:val="en-US"/>
              </w:rPr>
              <w:t>Detail</w:t>
            </w:r>
          </w:p>
        </w:tc>
      </w:tr>
      <w:tr w:rsidR="0017605D" w:rsidRPr="005F0B23" w14:paraId="2223311F" w14:textId="77777777" w:rsidTr="002D554F">
        <w:trPr>
          <w:trHeight w:val="251"/>
        </w:trPr>
        <w:tc>
          <w:tcPr>
            <w:tcW w:w="576" w:type="dxa"/>
            <w:tcBorders>
              <w:top w:val="single" w:sz="4" w:space="0" w:color="auto"/>
              <w:left w:val="single" w:sz="4" w:space="0" w:color="auto"/>
              <w:bottom w:val="single" w:sz="4" w:space="0" w:color="auto"/>
              <w:right w:val="single" w:sz="4" w:space="0" w:color="auto"/>
            </w:tcBorders>
          </w:tcPr>
          <w:p w14:paraId="6B261AD2" w14:textId="77777777" w:rsidR="0017605D" w:rsidRPr="005F0B23" w:rsidRDefault="00BF05CB" w:rsidP="007816FE">
            <w:pPr>
              <w:rPr>
                <w:sz w:val="20"/>
                <w:szCs w:val="20"/>
              </w:rPr>
            </w:pPr>
            <w:r>
              <w:rPr>
                <w:sz w:val="20"/>
                <w:szCs w:val="20"/>
              </w:rPr>
              <w:t>9</w:t>
            </w:r>
            <w:r w:rsidR="0033298F">
              <w:rPr>
                <w:sz w:val="20"/>
                <w:szCs w:val="20"/>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0A6892FA" w14:textId="4D234C1E" w:rsidR="007572CE" w:rsidRDefault="007572CE" w:rsidP="007572CE">
            <w:pPr>
              <w:pStyle w:val="Default"/>
              <w:rPr>
                <w:sz w:val="20"/>
                <w:szCs w:val="20"/>
              </w:rPr>
            </w:pPr>
            <w:r>
              <w:rPr>
                <w:sz w:val="20"/>
                <w:szCs w:val="20"/>
              </w:rPr>
              <w:t xml:space="preserve">Assess and investigate allegations of fraud and abuse in the housing system working in partnership with Housing Resident Services, Housing Needs and Harrow’s RSL’s including: </w:t>
            </w:r>
          </w:p>
          <w:p w14:paraId="5E2BF09D" w14:textId="77777777" w:rsidR="007572CE" w:rsidRDefault="007572CE" w:rsidP="007572CE">
            <w:pPr>
              <w:pStyle w:val="Default"/>
              <w:rPr>
                <w:sz w:val="20"/>
                <w:szCs w:val="20"/>
              </w:rPr>
            </w:pPr>
          </w:p>
          <w:p w14:paraId="4183B047" w14:textId="77777777" w:rsidR="007572CE" w:rsidRDefault="007572CE" w:rsidP="00165D78">
            <w:pPr>
              <w:pStyle w:val="Default"/>
              <w:numPr>
                <w:ilvl w:val="0"/>
                <w:numId w:val="9"/>
              </w:numPr>
              <w:ind w:left="360"/>
              <w:rPr>
                <w:sz w:val="20"/>
                <w:szCs w:val="20"/>
              </w:rPr>
            </w:pPr>
            <w:r>
              <w:rPr>
                <w:sz w:val="20"/>
                <w:szCs w:val="20"/>
              </w:rPr>
              <w:t>Seek to recover a combined total of 10 Council social housing units and disrupt/intercept fraudulent</w:t>
            </w:r>
          </w:p>
          <w:p w14:paraId="31776F78" w14:textId="724AB7A9" w:rsidR="0022009A" w:rsidRDefault="007572CE" w:rsidP="0022009A">
            <w:pPr>
              <w:pStyle w:val="Default"/>
              <w:ind w:left="360"/>
              <w:rPr>
                <w:sz w:val="20"/>
                <w:szCs w:val="20"/>
              </w:rPr>
            </w:pPr>
            <w:r>
              <w:rPr>
                <w:sz w:val="20"/>
                <w:szCs w:val="20"/>
              </w:rPr>
              <w:t>Right to Buy applications (KPI1)</w:t>
            </w:r>
          </w:p>
          <w:p w14:paraId="12670D87" w14:textId="77777777" w:rsidR="0022009A" w:rsidRDefault="0022009A" w:rsidP="0022009A">
            <w:pPr>
              <w:pStyle w:val="Default"/>
              <w:rPr>
                <w:sz w:val="20"/>
                <w:szCs w:val="20"/>
              </w:rPr>
            </w:pPr>
          </w:p>
          <w:p w14:paraId="3A27B3AA" w14:textId="3A84C42F" w:rsidR="007572CE" w:rsidRDefault="007572CE" w:rsidP="00452444">
            <w:pPr>
              <w:pStyle w:val="Default"/>
              <w:numPr>
                <w:ilvl w:val="0"/>
                <w:numId w:val="9"/>
              </w:numPr>
              <w:rPr>
                <w:sz w:val="20"/>
                <w:szCs w:val="20"/>
              </w:rPr>
            </w:pPr>
            <w:r>
              <w:rPr>
                <w:sz w:val="20"/>
                <w:szCs w:val="20"/>
              </w:rPr>
              <w:t>Prevent housing application fraud through a partnership approach</w:t>
            </w:r>
            <w:r w:rsidR="0022009A">
              <w:rPr>
                <w:sz w:val="20"/>
                <w:szCs w:val="20"/>
              </w:rPr>
              <w:t xml:space="preserve"> </w:t>
            </w:r>
            <w:r>
              <w:rPr>
                <w:sz w:val="20"/>
                <w:szCs w:val="20"/>
              </w:rPr>
              <w:t xml:space="preserve">with Housing Needs providing fraud risk advice, </w:t>
            </w:r>
            <w:proofErr w:type="gramStart"/>
            <w:r>
              <w:rPr>
                <w:sz w:val="20"/>
                <w:szCs w:val="20"/>
              </w:rPr>
              <w:t>support</w:t>
            </w:r>
            <w:proofErr w:type="gramEnd"/>
            <w:r>
              <w:rPr>
                <w:sz w:val="20"/>
                <w:szCs w:val="20"/>
              </w:rPr>
              <w:t xml:space="preserve"> and the investigation of allegations of fraud </w:t>
            </w:r>
          </w:p>
          <w:p w14:paraId="2369997D" w14:textId="77777777" w:rsidR="00165D78" w:rsidRDefault="00165D78" w:rsidP="00165D78">
            <w:pPr>
              <w:pStyle w:val="Default"/>
              <w:rPr>
                <w:sz w:val="20"/>
                <w:szCs w:val="20"/>
              </w:rPr>
            </w:pPr>
          </w:p>
          <w:p w14:paraId="0AE2EC1B" w14:textId="009D45BB" w:rsidR="006F0585" w:rsidRPr="00165D78" w:rsidRDefault="007572CE" w:rsidP="00165D78">
            <w:pPr>
              <w:numPr>
                <w:ilvl w:val="0"/>
                <w:numId w:val="10"/>
              </w:numPr>
              <w:ind w:left="360"/>
              <w:rPr>
                <w:bCs/>
                <w:sz w:val="20"/>
                <w:szCs w:val="20"/>
              </w:rPr>
            </w:pPr>
            <w:r>
              <w:rPr>
                <w:sz w:val="20"/>
                <w:szCs w:val="20"/>
              </w:rPr>
              <w:t xml:space="preserve">Prevent fraudulent Right to Buy (RTB) applications through targeted application validation with a fraud check on at least 90% applications referred to the CAFT at offer stage and before completion (KPI2) </w:t>
            </w:r>
          </w:p>
          <w:p w14:paraId="5F123E1B" w14:textId="77777777" w:rsidR="00165D78" w:rsidRPr="00165D78" w:rsidRDefault="00165D78" w:rsidP="00165D78">
            <w:pPr>
              <w:ind w:left="360"/>
              <w:rPr>
                <w:bCs/>
                <w:sz w:val="20"/>
                <w:szCs w:val="20"/>
              </w:rPr>
            </w:pPr>
          </w:p>
          <w:p w14:paraId="15CE31AE" w14:textId="77777777" w:rsidR="00165D78" w:rsidRDefault="00165D78" w:rsidP="00165D78">
            <w:pPr>
              <w:pStyle w:val="Default"/>
              <w:numPr>
                <w:ilvl w:val="0"/>
                <w:numId w:val="10"/>
              </w:numPr>
              <w:ind w:left="360"/>
              <w:rPr>
                <w:sz w:val="20"/>
                <w:szCs w:val="20"/>
              </w:rPr>
            </w:pPr>
            <w:r>
              <w:rPr>
                <w:sz w:val="20"/>
                <w:szCs w:val="20"/>
              </w:rPr>
              <w:t>Maximise the use of powers contained within the Prevention of Social Housing Fraud Act 2013 (</w:t>
            </w:r>
            <w:proofErr w:type="spellStart"/>
            <w:r>
              <w:rPr>
                <w:sz w:val="20"/>
                <w:szCs w:val="20"/>
              </w:rPr>
              <w:t>PoSHFA</w:t>
            </w:r>
            <w:proofErr w:type="spellEnd"/>
            <w:r>
              <w:rPr>
                <w:sz w:val="20"/>
                <w:szCs w:val="20"/>
              </w:rPr>
              <w:t xml:space="preserve">) in terms of gathering evidence, investigation and prosecution of offenders and recovery of unlawful profit </w:t>
            </w:r>
          </w:p>
          <w:p w14:paraId="6CF5DD20" w14:textId="77777777" w:rsidR="00165D78" w:rsidRPr="00165D78" w:rsidRDefault="00165D78" w:rsidP="00165D78">
            <w:pPr>
              <w:pStyle w:val="ListParagraph"/>
              <w:ind w:left="360"/>
              <w:rPr>
                <w:bCs/>
                <w:sz w:val="20"/>
                <w:szCs w:val="20"/>
              </w:rPr>
            </w:pPr>
          </w:p>
          <w:p w14:paraId="780C6354" w14:textId="2CA910CA" w:rsidR="00165D78" w:rsidRPr="00165D78" w:rsidRDefault="00165D78" w:rsidP="00165D78">
            <w:pPr>
              <w:pStyle w:val="ListParagraph"/>
              <w:numPr>
                <w:ilvl w:val="0"/>
                <w:numId w:val="10"/>
              </w:numPr>
              <w:ind w:left="360"/>
              <w:rPr>
                <w:bCs/>
                <w:sz w:val="20"/>
                <w:szCs w:val="20"/>
              </w:rPr>
            </w:pPr>
            <w:r w:rsidRPr="00165D78">
              <w:rPr>
                <w:sz w:val="20"/>
                <w:szCs w:val="20"/>
              </w:rPr>
              <w:t xml:space="preserve">Plan and implement a proactive anti-fraud </w:t>
            </w:r>
            <w:proofErr w:type="spellStart"/>
            <w:r w:rsidRPr="00165D78">
              <w:rPr>
                <w:sz w:val="20"/>
                <w:szCs w:val="20"/>
              </w:rPr>
              <w:t>datamatching</w:t>
            </w:r>
            <w:proofErr w:type="spellEnd"/>
            <w:r w:rsidRPr="00165D78">
              <w:rPr>
                <w:sz w:val="20"/>
                <w:szCs w:val="20"/>
              </w:rPr>
              <w:t xml:space="preserve"> exercise to identify the misuse of Council social housing units (see internal </w:t>
            </w:r>
            <w:proofErr w:type="spellStart"/>
            <w:r w:rsidRPr="00165D78">
              <w:rPr>
                <w:sz w:val="20"/>
                <w:szCs w:val="20"/>
              </w:rPr>
              <w:t>datamatching</w:t>
            </w:r>
            <w:proofErr w:type="spellEnd"/>
            <w:r w:rsidRPr="00165D78">
              <w:rPr>
                <w:sz w:val="20"/>
                <w:szCs w:val="20"/>
              </w:rPr>
              <w:t xml:space="preserve"> section above) </w:t>
            </w:r>
          </w:p>
        </w:tc>
        <w:tc>
          <w:tcPr>
            <w:tcW w:w="5953" w:type="dxa"/>
            <w:tcBorders>
              <w:top w:val="single" w:sz="4" w:space="0" w:color="auto"/>
              <w:left w:val="nil"/>
              <w:bottom w:val="single" w:sz="4" w:space="0" w:color="auto"/>
              <w:right w:val="single" w:sz="4" w:space="0" w:color="auto"/>
            </w:tcBorders>
            <w:shd w:val="clear" w:color="auto" w:fill="auto"/>
          </w:tcPr>
          <w:p w14:paraId="0E4B89D3" w14:textId="7B7C84B3" w:rsidR="0017605D" w:rsidRPr="00D91B20" w:rsidRDefault="006310FF" w:rsidP="008937A7">
            <w:pPr>
              <w:rPr>
                <w:b/>
                <w:sz w:val="20"/>
                <w:szCs w:val="20"/>
              </w:rPr>
            </w:pPr>
            <w:r w:rsidRPr="00D91B20">
              <w:rPr>
                <w:b/>
                <w:sz w:val="20"/>
                <w:szCs w:val="20"/>
              </w:rPr>
              <w:t xml:space="preserve">Objective </w:t>
            </w:r>
            <w:r w:rsidR="00D337A0" w:rsidRPr="00D91B20">
              <w:rPr>
                <w:b/>
                <w:sz w:val="20"/>
                <w:szCs w:val="20"/>
              </w:rPr>
              <w:t>achieved</w:t>
            </w:r>
          </w:p>
          <w:p w14:paraId="02F32452" w14:textId="77777777" w:rsidR="00076CB7" w:rsidRPr="00B75853" w:rsidRDefault="00076CB7" w:rsidP="008937A7">
            <w:pPr>
              <w:rPr>
                <w:b/>
                <w:color w:val="FF0000"/>
                <w:sz w:val="20"/>
                <w:szCs w:val="20"/>
              </w:rPr>
            </w:pPr>
          </w:p>
          <w:p w14:paraId="44C507E6" w14:textId="77777777" w:rsidR="00FF1383" w:rsidRPr="00D44AD0" w:rsidRDefault="0017605D" w:rsidP="003C347A">
            <w:pPr>
              <w:rPr>
                <w:b/>
                <w:sz w:val="20"/>
                <w:szCs w:val="20"/>
              </w:rPr>
            </w:pPr>
            <w:r w:rsidRPr="00D44AD0">
              <w:rPr>
                <w:b/>
                <w:sz w:val="20"/>
                <w:szCs w:val="20"/>
              </w:rPr>
              <w:t>Tenancy recoveries</w:t>
            </w:r>
            <w:r w:rsidR="00FF1383" w:rsidRPr="00D44AD0">
              <w:rPr>
                <w:b/>
                <w:sz w:val="20"/>
                <w:szCs w:val="20"/>
              </w:rPr>
              <w:t xml:space="preserve"> &amp; Right to Buy applications disrupted/intercepted</w:t>
            </w:r>
            <w:r w:rsidR="00030519" w:rsidRPr="00D44AD0">
              <w:rPr>
                <w:b/>
                <w:sz w:val="20"/>
                <w:szCs w:val="20"/>
              </w:rPr>
              <w:t xml:space="preserve"> work stream</w:t>
            </w:r>
          </w:p>
          <w:p w14:paraId="07D27EBF" w14:textId="4A17A24D" w:rsidR="006328FB" w:rsidRPr="007D20F1" w:rsidRDefault="0017605D" w:rsidP="00FF1383">
            <w:pPr>
              <w:rPr>
                <w:sz w:val="20"/>
                <w:szCs w:val="20"/>
              </w:rPr>
            </w:pPr>
            <w:r w:rsidRPr="00D44AD0">
              <w:rPr>
                <w:sz w:val="20"/>
                <w:szCs w:val="20"/>
              </w:rPr>
              <w:t>Working in partnership with Housing Resident Services</w:t>
            </w:r>
            <w:r w:rsidR="00FF1383" w:rsidRPr="00D44AD0">
              <w:rPr>
                <w:sz w:val="20"/>
                <w:szCs w:val="20"/>
              </w:rPr>
              <w:t>,</w:t>
            </w:r>
            <w:r w:rsidRPr="00D44AD0">
              <w:rPr>
                <w:sz w:val="20"/>
                <w:szCs w:val="20"/>
              </w:rPr>
              <w:t xml:space="preserve"> Harrow’s </w:t>
            </w:r>
            <w:r w:rsidR="00C227D7">
              <w:rPr>
                <w:sz w:val="20"/>
                <w:szCs w:val="20"/>
              </w:rPr>
              <w:t>Registered Social Landlords (RSL’s)</w:t>
            </w:r>
            <w:r w:rsidR="00C64D28" w:rsidRPr="00D44AD0">
              <w:rPr>
                <w:sz w:val="20"/>
                <w:szCs w:val="20"/>
              </w:rPr>
              <w:t xml:space="preserve">, </w:t>
            </w:r>
            <w:r w:rsidR="00FF1383" w:rsidRPr="00D44AD0">
              <w:rPr>
                <w:sz w:val="20"/>
                <w:szCs w:val="20"/>
              </w:rPr>
              <w:t>Leasehold Services and HB Public Law</w:t>
            </w:r>
            <w:r w:rsidR="007D6A00" w:rsidRPr="00D44AD0">
              <w:rPr>
                <w:sz w:val="20"/>
                <w:szCs w:val="20"/>
              </w:rPr>
              <w:t xml:space="preserve">, </w:t>
            </w:r>
            <w:r w:rsidR="00D337A0" w:rsidRPr="00D91B20">
              <w:rPr>
                <w:sz w:val="20"/>
                <w:szCs w:val="20"/>
              </w:rPr>
              <w:t>2</w:t>
            </w:r>
            <w:r w:rsidR="00B703D1" w:rsidRPr="00D91B20">
              <w:rPr>
                <w:sz w:val="20"/>
                <w:szCs w:val="20"/>
              </w:rPr>
              <w:t xml:space="preserve"> </w:t>
            </w:r>
            <w:r w:rsidR="008601E1">
              <w:rPr>
                <w:sz w:val="20"/>
                <w:szCs w:val="20"/>
              </w:rPr>
              <w:t xml:space="preserve">council </w:t>
            </w:r>
            <w:r w:rsidRPr="00D91B20">
              <w:rPr>
                <w:sz w:val="20"/>
                <w:szCs w:val="20"/>
              </w:rPr>
              <w:t>housing tenanc</w:t>
            </w:r>
            <w:r w:rsidR="00D337A0" w:rsidRPr="00D91B20">
              <w:rPr>
                <w:sz w:val="20"/>
                <w:szCs w:val="20"/>
              </w:rPr>
              <w:t>ies</w:t>
            </w:r>
            <w:r w:rsidRPr="00D91B20">
              <w:rPr>
                <w:sz w:val="20"/>
                <w:szCs w:val="20"/>
              </w:rPr>
              <w:t xml:space="preserve"> </w:t>
            </w:r>
            <w:r w:rsidR="005A41F8" w:rsidRPr="00D91B20">
              <w:rPr>
                <w:sz w:val="20"/>
                <w:szCs w:val="20"/>
              </w:rPr>
              <w:t xml:space="preserve">(£93,000 x 2) </w:t>
            </w:r>
            <w:r w:rsidRPr="00D91B20">
              <w:rPr>
                <w:sz w:val="20"/>
                <w:szCs w:val="20"/>
              </w:rPr>
              <w:t>w</w:t>
            </w:r>
            <w:r w:rsidR="00D337A0" w:rsidRPr="00D91B20">
              <w:rPr>
                <w:sz w:val="20"/>
                <w:szCs w:val="20"/>
              </w:rPr>
              <w:t>ere</w:t>
            </w:r>
            <w:r w:rsidRPr="00D91B20">
              <w:rPr>
                <w:sz w:val="20"/>
                <w:szCs w:val="20"/>
              </w:rPr>
              <w:t xml:space="preserve"> recovered</w:t>
            </w:r>
            <w:r w:rsidR="00A33647">
              <w:rPr>
                <w:sz w:val="20"/>
                <w:szCs w:val="20"/>
              </w:rPr>
              <w:t xml:space="preserve">, </w:t>
            </w:r>
            <w:r w:rsidR="00C227D7">
              <w:rPr>
                <w:sz w:val="20"/>
                <w:szCs w:val="20"/>
              </w:rPr>
              <w:t xml:space="preserve">2 RSL </w:t>
            </w:r>
            <w:r w:rsidR="00B70A1F">
              <w:rPr>
                <w:sz w:val="20"/>
                <w:szCs w:val="20"/>
              </w:rPr>
              <w:t>tenancies were recovered (93,000 x 2)</w:t>
            </w:r>
            <w:r w:rsidR="00C227D7">
              <w:rPr>
                <w:sz w:val="20"/>
                <w:szCs w:val="20"/>
              </w:rPr>
              <w:t xml:space="preserve"> </w:t>
            </w:r>
            <w:r w:rsidR="00B703D1" w:rsidRPr="00D91B20">
              <w:rPr>
                <w:sz w:val="20"/>
                <w:szCs w:val="20"/>
              </w:rPr>
              <w:t xml:space="preserve">and </w:t>
            </w:r>
            <w:r w:rsidR="001E116B">
              <w:rPr>
                <w:sz w:val="20"/>
                <w:szCs w:val="20"/>
              </w:rPr>
              <w:t>9</w:t>
            </w:r>
            <w:r w:rsidR="00B703D1" w:rsidRPr="00D91B20">
              <w:rPr>
                <w:sz w:val="20"/>
                <w:szCs w:val="20"/>
              </w:rPr>
              <w:t xml:space="preserve"> </w:t>
            </w:r>
            <w:r w:rsidR="00B703D1" w:rsidRPr="007D20F1">
              <w:rPr>
                <w:sz w:val="20"/>
                <w:szCs w:val="20"/>
              </w:rPr>
              <w:t xml:space="preserve">Right to Buys </w:t>
            </w:r>
            <w:r w:rsidR="005A41F8" w:rsidRPr="007D20F1">
              <w:rPr>
                <w:sz w:val="20"/>
                <w:szCs w:val="20"/>
              </w:rPr>
              <w:t>(</w:t>
            </w:r>
            <w:r w:rsidR="007D20F1" w:rsidRPr="007D20F1">
              <w:rPr>
                <w:color w:val="000000"/>
                <w:sz w:val="20"/>
                <w:szCs w:val="20"/>
              </w:rPr>
              <w:t>£891,310.5</w:t>
            </w:r>
            <w:r w:rsidR="005A41F8" w:rsidRPr="007D20F1">
              <w:rPr>
                <w:sz w:val="20"/>
                <w:szCs w:val="20"/>
              </w:rPr>
              <w:t>)</w:t>
            </w:r>
            <w:r w:rsidR="005A41F8" w:rsidRPr="00D91B20">
              <w:rPr>
                <w:sz w:val="20"/>
                <w:szCs w:val="20"/>
              </w:rPr>
              <w:t xml:space="preserve"> </w:t>
            </w:r>
            <w:r w:rsidR="00B703D1" w:rsidRPr="00D91B20">
              <w:rPr>
                <w:sz w:val="20"/>
                <w:szCs w:val="20"/>
              </w:rPr>
              <w:t xml:space="preserve">were </w:t>
            </w:r>
            <w:r w:rsidR="007D20F1">
              <w:rPr>
                <w:sz w:val="20"/>
                <w:szCs w:val="20"/>
              </w:rPr>
              <w:t>denied</w:t>
            </w:r>
            <w:r w:rsidR="00FD3732" w:rsidRPr="00D91B20">
              <w:rPr>
                <w:sz w:val="20"/>
                <w:szCs w:val="20"/>
              </w:rPr>
              <w:t>.</w:t>
            </w:r>
            <w:r w:rsidR="000E50DC" w:rsidRPr="00D91B20">
              <w:rPr>
                <w:sz w:val="20"/>
                <w:szCs w:val="20"/>
              </w:rPr>
              <w:t xml:space="preserve">  </w:t>
            </w:r>
          </w:p>
          <w:p w14:paraId="20409D96" w14:textId="77777777" w:rsidR="00453F4B" w:rsidRPr="005A41F8" w:rsidRDefault="00453F4B" w:rsidP="00FF1383">
            <w:pPr>
              <w:rPr>
                <w:color w:val="FF0000"/>
                <w:sz w:val="20"/>
                <w:szCs w:val="20"/>
              </w:rPr>
            </w:pPr>
          </w:p>
          <w:p w14:paraId="233644CD" w14:textId="2579774E" w:rsidR="00C8544B" w:rsidRPr="00D91B20" w:rsidRDefault="006328FB" w:rsidP="00D91B20">
            <w:pPr>
              <w:rPr>
                <w:sz w:val="20"/>
                <w:szCs w:val="20"/>
              </w:rPr>
            </w:pPr>
            <w:r w:rsidRPr="00D91B20">
              <w:rPr>
                <w:sz w:val="20"/>
                <w:szCs w:val="20"/>
              </w:rPr>
              <w:t xml:space="preserve">The value of RTB loss prevention is equal to the value of the purchase discount which can vary depending on the length of time the tenant has occupied the property and when they submitted their application as the discount increase annually in line with </w:t>
            </w:r>
            <w:r w:rsidR="006734F4" w:rsidRPr="00D91B20">
              <w:rPr>
                <w:sz w:val="20"/>
                <w:szCs w:val="20"/>
              </w:rPr>
              <w:t>the consumer price index (CPI)</w:t>
            </w:r>
            <w:r w:rsidRPr="00D91B20">
              <w:rPr>
                <w:sz w:val="20"/>
                <w:szCs w:val="20"/>
              </w:rPr>
              <w:t xml:space="preserve">.    </w:t>
            </w:r>
          </w:p>
          <w:p w14:paraId="2FA8B1F0" w14:textId="0B7CE709" w:rsidR="00FF1383" w:rsidRPr="00D44AD0" w:rsidRDefault="00FF1383" w:rsidP="00FF1383">
            <w:pPr>
              <w:rPr>
                <w:b/>
                <w:sz w:val="20"/>
                <w:szCs w:val="20"/>
              </w:rPr>
            </w:pPr>
            <w:r w:rsidRPr="00D44AD0">
              <w:rPr>
                <w:b/>
                <w:sz w:val="20"/>
                <w:szCs w:val="20"/>
              </w:rPr>
              <w:t xml:space="preserve">KPI1 target </w:t>
            </w:r>
            <w:r w:rsidR="00C8544B" w:rsidRPr="00D44AD0">
              <w:rPr>
                <w:b/>
                <w:sz w:val="20"/>
                <w:szCs w:val="20"/>
              </w:rPr>
              <w:t>10</w:t>
            </w:r>
            <w:r w:rsidR="00673C95" w:rsidRPr="000E50DC">
              <w:rPr>
                <w:b/>
                <w:sz w:val="20"/>
                <w:szCs w:val="20"/>
              </w:rPr>
              <w:t>,</w:t>
            </w:r>
            <w:r w:rsidR="00BB10F0" w:rsidRPr="00D44AD0">
              <w:rPr>
                <w:b/>
                <w:sz w:val="20"/>
                <w:szCs w:val="20"/>
              </w:rPr>
              <w:t xml:space="preserve"> </w:t>
            </w:r>
            <w:r w:rsidRPr="00D44AD0">
              <w:rPr>
                <w:b/>
                <w:sz w:val="20"/>
                <w:szCs w:val="20"/>
              </w:rPr>
              <w:t xml:space="preserve">achieved </w:t>
            </w:r>
            <w:r w:rsidR="00D76E2B">
              <w:rPr>
                <w:b/>
                <w:sz w:val="20"/>
                <w:szCs w:val="20"/>
              </w:rPr>
              <w:t>1</w:t>
            </w:r>
            <w:r w:rsidR="00897781">
              <w:rPr>
                <w:b/>
                <w:sz w:val="20"/>
                <w:szCs w:val="20"/>
              </w:rPr>
              <w:t>1</w:t>
            </w:r>
            <w:r w:rsidR="00261239">
              <w:rPr>
                <w:b/>
                <w:sz w:val="20"/>
                <w:szCs w:val="20"/>
              </w:rPr>
              <w:t xml:space="preserve"> (1</w:t>
            </w:r>
            <w:r w:rsidR="00897781">
              <w:rPr>
                <w:b/>
                <w:sz w:val="20"/>
                <w:szCs w:val="20"/>
              </w:rPr>
              <w:t>1</w:t>
            </w:r>
            <w:r w:rsidR="00261239">
              <w:rPr>
                <w:b/>
                <w:sz w:val="20"/>
                <w:szCs w:val="20"/>
              </w:rPr>
              <w:t>0%)</w:t>
            </w:r>
            <w:r w:rsidRPr="00D44AD0">
              <w:rPr>
                <w:b/>
                <w:sz w:val="20"/>
                <w:szCs w:val="20"/>
              </w:rPr>
              <w:t xml:space="preserve"> </w:t>
            </w:r>
          </w:p>
          <w:p w14:paraId="75BF00E0" w14:textId="77777777" w:rsidR="007D6A00" w:rsidRPr="00D44AD0" w:rsidRDefault="007D6A00" w:rsidP="008937A7">
            <w:pPr>
              <w:rPr>
                <w:sz w:val="20"/>
                <w:szCs w:val="20"/>
              </w:rPr>
            </w:pPr>
          </w:p>
          <w:p w14:paraId="4F0FD343" w14:textId="77777777" w:rsidR="000E50DC" w:rsidRPr="00D44AD0" w:rsidRDefault="000E50DC" w:rsidP="000E50DC">
            <w:pPr>
              <w:rPr>
                <w:b/>
                <w:bCs/>
                <w:sz w:val="20"/>
                <w:szCs w:val="20"/>
              </w:rPr>
            </w:pPr>
            <w:r w:rsidRPr="00D44AD0">
              <w:rPr>
                <w:b/>
                <w:bCs/>
                <w:sz w:val="20"/>
                <w:szCs w:val="20"/>
              </w:rPr>
              <w:t>Housing Applications work stream</w:t>
            </w:r>
          </w:p>
          <w:p w14:paraId="2D288ABB" w14:textId="13604244" w:rsidR="000E50DC" w:rsidRPr="00D44AD0" w:rsidRDefault="000E50DC" w:rsidP="000E50DC">
            <w:pPr>
              <w:rPr>
                <w:sz w:val="20"/>
                <w:szCs w:val="20"/>
              </w:rPr>
            </w:pPr>
            <w:r w:rsidRPr="00D44AD0">
              <w:rPr>
                <w:sz w:val="20"/>
                <w:szCs w:val="20"/>
              </w:rPr>
              <w:t xml:space="preserve">A total of </w:t>
            </w:r>
            <w:r w:rsidR="00F72E16">
              <w:rPr>
                <w:sz w:val="20"/>
                <w:szCs w:val="20"/>
              </w:rPr>
              <w:t>6</w:t>
            </w:r>
            <w:r w:rsidRPr="00D44AD0">
              <w:rPr>
                <w:sz w:val="20"/>
                <w:szCs w:val="20"/>
              </w:rPr>
              <w:t xml:space="preserve"> housing application referrals </w:t>
            </w:r>
            <w:r w:rsidR="00F72E16">
              <w:rPr>
                <w:sz w:val="20"/>
                <w:szCs w:val="20"/>
              </w:rPr>
              <w:t>were</w:t>
            </w:r>
            <w:r w:rsidRPr="00D44AD0">
              <w:rPr>
                <w:sz w:val="20"/>
                <w:szCs w:val="20"/>
              </w:rPr>
              <w:t xml:space="preserve"> received by the team during the year and </w:t>
            </w:r>
            <w:r w:rsidR="00F72E16">
              <w:rPr>
                <w:sz w:val="20"/>
                <w:szCs w:val="20"/>
              </w:rPr>
              <w:t xml:space="preserve">1 </w:t>
            </w:r>
            <w:r w:rsidR="0065373C">
              <w:rPr>
                <w:sz w:val="20"/>
                <w:szCs w:val="20"/>
              </w:rPr>
              <w:t>application was rejected</w:t>
            </w:r>
            <w:r w:rsidR="00760A15">
              <w:rPr>
                <w:sz w:val="20"/>
                <w:szCs w:val="20"/>
              </w:rPr>
              <w:t xml:space="preserve"> resu</w:t>
            </w:r>
            <w:r w:rsidR="003D204B">
              <w:rPr>
                <w:sz w:val="20"/>
                <w:szCs w:val="20"/>
              </w:rPr>
              <w:t>l</w:t>
            </w:r>
            <w:r w:rsidR="00760A15">
              <w:rPr>
                <w:sz w:val="20"/>
                <w:szCs w:val="20"/>
              </w:rPr>
              <w:t xml:space="preserve">ting in a </w:t>
            </w:r>
            <w:r w:rsidR="003D204B">
              <w:rPr>
                <w:sz w:val="20"/>
                <w:szCs w:val="20"/>
              </w:rPr>
              <w:t>loss prevention savings of £7,176.</w:t>
            </w:r>
            <w:r w:rsidRPr="00D44AD0">
              <w:rPr>
                <w:sz w:val="20"/>
                <w:szCs w:val="20"/>
              </w:rPr>
              <w:t xml:space="preserve">  </w:t>
            </w:r>
          </w:p>
          <w:p w14:paraId="0EC5374B" w14:textId="77777777" w:rsidR="000E50DC" w:rsidRDefault="000E50DC" w:rsidP="008937A7">
            <w:pPr>
              <w:rPr>
                <w:b/>
                <w:sz w:val="20"/>
                <w:szCs w:val="20"/>
              </w:rPr>
            </w:pPr>
          </w:p>
          <w:p w14:paraId="3B919686" w14:textId="3EE6DE9C" w:rsidR="007D6A00" w:rsidRPr="00D44AD0" w:rsidRDefault="00A31D7E" w:rsidP="008937A7">
            <w:pPr>
              <w:rPr>
                <w:b/>
                <w:sz w:val="20"/>
                <w:szCs w:val="20"/>
              </w:rPr>
            </w:pPr>
            <w:r w:rsidRPr="00D44AD0">
              <w:rPr>
                <w:b/>
                <w:sz w:val="20"/>
                <w:szCs w:val="20"/>
              </w:rPr>
              <w:t xml:space="preserve">RTB work stream </w:t>
            </w:r>
          </w:p>
          <w:p w14:paraId="5B4863FA" w14:textId="5BBF3554" w:rsidR="0017605D" w:rsidRPr="00D44AD0" w:rsidRDefault="007D6A00" w:rsidP="008937A7">
            <w:pPr>
              <w:rPr>
                <w:b/>
                <w:sz w:val="20"/>
                <w:szCs w:val="20"/>
              </w:rPr>
            </w:pPr>
            <w:r w:rsidRPr="00D44AD0">
              <w:rPr>
                <w:sz w:val="20"/>
                <w:szCs w:val="20"/>
              </w:rPr>
              <w:t xml:space="preserve">Out of a total of </w:t>
            </w:r>
            <w:r w:rsidR="00F600D2">
              <w:rPr>
                <w:sz w:val="20"/>
                <w:szCs w:val="20"/>
              </w:rPr>
              <w:t>31</w:t>
            </w:r>
            <w:r w:rsidRPr="00D44AD0">
              <w:rPr>
                <w:sz w:val="20"/>
                <w:szCs w:val="20"/>
              </w:rPr>
              <w:t xml:space="preserve"> Right to Buy applications received by the team, all </w:t>
            </w:r>
            <w:r w:rsidR="00F600D2">
              <w:rPr>
                <w:sz w:val="20"/>
                <w:szCs w:val="20"/>
              </w:rPr>
              <w:t>31</w:t>
            </w:r>
            <w:r w:rsidR="00505743" w:rsidRPr="00D44AD0">
              <w:rPr>
                <w:sz w:val="20"/>
                <w:szCs w:val="20"/>
              </w:rPr>
              <w:t xml:space="preserve"> </w:t>
            </w:r>
            <w:r w:rsidRPr="00D44AD0">
              <w:rPr>
                <w:sz w:val="20"/>
                <w:szCs w:val="20"/>
              </w:rPr>
              <w:t xml:space="preserve">Right to Buy </w:t>
            </w:r>
            <w:r w:rsidR="00505743" w:rsidRPr="00D44AD0">
              <w:rPr>
                <w:sz w:val="20"/>
                <w:szCs w:val="20"/>
              </w:rPr>
              <w:t xml:space="preserve">applications </w:t>
            </w:r>
            <w:r w:rsidR="00320F84">
              <w:rPr>
                <w:sz w:val="20"/>
                <w:szCs w:val="20"/>
              </w:rPr>
              <w:t xml:space="preserve">were fraud </w:t>
            </w:r>
            <w:r w:rsidRPr="00D44AD0">
              <w:rPr>
                <w:sz w:val="20"/>
                <w:szCs w:val="20"/>
              </w:rPr>
              <w:t xml:space="preserve">checked </w:t>
            </w:r>
            <w:r w:rsidR="00505743" w:rsidRPr="00D44AD0">
              <w:rPr>
                <w:sz w:val="20"/>
                <w:szCs w:val="20"/>
              </w:rPr>
              <w:t xml:space="preserve">or </w:t>
            </w:r>
            <w:r w:rsidR="00320F84">
              <w:rPr>
                <w:sz w:val="20"/>
                <w:szCs w:val="20"/>
              </w:rPr>
              <w:t>were</w:t>
            </w:r>
            <w:r w:rsidR="00505743" w:rsidRPr="00D44AD0">
              <w:rPr>
                <w:sz w:val="20"/>
                <w:szCs w:val="20"/>
              </w:rPr>
              <w:t xml:space="preserve"> in the process of being fraud checked</w:t>
            </w:r>
            <w:r w:rsidRPr="00D44AD0">
              <w:rPr>
                <w:sz w:val="20"/>
                <w:szCs w:val="20"/>
              </w:rPr>
              <w:t xml:space="preserve"> before purchase or the application determined (denied</w:t>
            </w:r>
            <w:r w:rsidR="007D65B8">
              <w:rPr>
                <w:sz w:val="20"/>
                <w:szCs w:val="20"/>
              </w:rPr>
              <w:t xml:space="preserve"> or accepted</w:t>
            </w:r>
            <w:r w:rsidRPr="00D44AD0">
              <w:rPr>
                <w:sz w:val="20"/>
                <w:szCs w:val="20"/>
              </w:rPr>
              <w:t>)</w:t>
            </w:r>
            <w:r w:rsidR="00505743" w:rsidRPr="00D44AD0">
              <w:rPr>
                <w:sz w:val="20"/>
                <w:szCs w:val="20"/>
              </w:rPr>
              <w:t>.</w:t>
            </w:r>
          </w:p>
          <w:p w14:paraId="03304ABC" w14:textId="7A4A55E5" w:rsidR="0017605D" w:rsidRPr="00D44AD0" w:rsidRDefault="0017605D" w:rsidP="008937A7">
            <w:pPr>
              <w:rPr>
                <w:b/>
                <w:sz w:val="20"/>
                <w:szCs w:val="20"/>
              </w:rPr>
            </w:pPr>
            <w:r w:rsidRPr="00D44AD0">
              <w:rPr>
                <w:b/>
                <w:sz w:val="20"/>
                <w:szCs w:val="20"/>
              </w:rPr>
              <w:t>KPI2 target 90%</w:t>
            </w:r>
            <w:r w:rsidR="00A31D7E" w:rsidRPr="00D44AD0">
              <w:rPr>
                <w:b/>
                <w:sz w:val="20"/>
                <w:szCs w:val="20"/>
              </w:rPr>
              <w:t>, achiev</w:t>
            </w:r>
            <w:r w:rsidR="00C8544B" w:rsidRPr="00D44AD0">
              <w:rPr>
                <w:b/>
                <w:sz w:val="20"/>
                <w:szCs w:val="20"/>
              </w:rPr>
              <w:t>ed</w:t>
            </w:r>
            <w:r w:rsidR="00A31D7E" w:rsidRPr="00D44AD0">
              <w:rPr>
                <w:b/>
                <w:sz w:val="20"/>
                <w:szCs w:val="20"/>
              </w:rPr>
              <w:t xml:space="preserve"> 100%</w:t>
            </w:r>
          </w:p>
          <w:p w14:paraId="6EAFCAC3" w14:textId="77777777" w:rsidR="00FA0A24" w:rsidRPr="00D44AD0" w:rsidRDefault="00FA0A24" w:rsidP="008937A7">
            <w:pPr>
              <w:rPr>
                <w:sz w:val="20"/>
                <w:szCs w:val="20"/>
              </w:rPr>
            </w:pPr>
          </w:p>
          <w:p w14:paraId="28A485F4" w14:textId="77777777" w:rsidR="0017605D" w:rsidRPr="009B195B" w:rsidRDefault="0017605D" w:rsidP="00EF7582">
            <w:pPr>
              <w:rPr>
                <w:b/>
                <w:sz w:val="20"/>
                <w:szCs w:val="20"/>
              </w:rPr>
            </w:pPr>
            <w:proofErr w:type="spellStart"/>
            <w:r w:rsidRPr="009B195B">
              <w:rPr>
                <w:b/>
                <w:sz w:val="20"/>
                <w:szCs w:val="20"/>
              </w:rPr>
              <w:t>PoSHFA</w:t>
            </w:r>
            <w:proofErr w:type="spellEnd"/>
            <w:r w:rsidRPr="009B195B">
              <w:rPr>
                <w:b/>
                <w:sz w:val="20"/>
                <w:szCs w:val="20"/>
              </w:rPr>
              <w:t xml:space="preserve"> </w:t>
            </w:r>
            <w:r w:rsidR="004F1B1F" w:rsidRPr="009B195B">
              <w:rPr>
                <w:b/>
                <w:sz w:val="20"/>
                <w:szCs w:val="20"/>
              </w:rPr>
              <w:t>2013 Powers wor</w:t>
            </w:r>
            <w:r w:rsidR="00451955" w:rsidRPr="009B195B">
              <w:rPr>
                <w:b/>
                <w:sz w:val="20"/>
                <w:szCs w:val="20"/>
              </w:rPr>
              <w:t>k stream</w:t>
            </w:r>
          </w:p>
          <w:p w14:paraId="4AB39C89" w14:textId="0E6AE6EB" w:rsidR="0017605D" w:rsidRPr="009B195B" w:rsidRDefault="0017605D" w:rsidP="00EF7582">
            <w:pPr>
              <w:rPr>
                <w:sz w:val="20"/>
                <w:szCs w:val="20"/>
              </w:rPr>
            </w:pPr>
            <w:r w:rsidRPr="009B195B">
              <w:rPr>
                <w:sz w:val="20"/>
                <w:szCs w:val="20"/>
              </w:rPr>
              <w:t>The authority has utilised powers contained within the above act through requests to the National Ant</w:t>
            </w:r>
            <w:r w:rsidR="000E50DC" w:rsidRPr="009B195B">
              <w:rPr>
                <w:sz w:val="20"/>
                <w:szCs w:val="20"/>
              </w:rPr>
              <w:t>i-</w:t>
            </w:r>
            <w:r w:rsidRPr="009B195B">
              <w:rPr>
                <w:sz w:val="20"/>
                <w:szCs w:val="20"/>
              </w:rPr>
              <w:t xml:space="preserve">Fraud Network (NAFN) on </w:t>
            </w:r>
            <w:r w:rsidR="00870039" w:rsidRPr="009B195B">
              <w:rPr>
                <w:sz w:val="20"/>
                <w:szCs w:val="20"/>
              </w:rPr>
              <w:t>10</w:t>
            </w:r>
            <w:r w:rsidR="00451955" w:rsidRPr="009B195B">
              <w:rPr>
                <w:sz w:val="20"/>
                <w:szCs w:val="20"/>
              </w:rPr>
              <w:t xml:space="preserve"> occasions </w:t>
            </w:r>
            <w:r w:rsidRPr="009B195B">
              <w:rPr>
                <w:sz w:val="20"/>
                <w:szCs w:val="20"/>
              </w:rPr>
              <w:t xml:space="preserve">this year.  </w:t>
            </w:r>
            <w:r w:rsidR="00FA0A24" w:rsidRPr="009B195B">
              <w:rPr>
                <w:sz w:val="20"/>
                <w:szCs w:val="20"/>
              </w:rPr>
              <w:t>T</w:t>
            </w:r>
            <w:r w:rsidRPr="009B195B">
              <w:rPr>
                <w:sz w:val="20"/>
                <w:szCs w:val="20"/>
              </w:rPr>
              <w:t>his enables the authority to access personal financial data held by the banks on individuals on cases of suspected tenancy sub-let, RTB and housing applications where there is doubt over the accuracy of the subject’s account of events</w:t>
            </w:r>
            <w:r w:rsidR="00FA0A24" w:rsidRPr="009B195B">
              <w:rPr>
                <w:sz w:val="20"/>
                <w:szCs w:val="20"/>
              </w:rPr>
              <w:t>.</w:t>
            </w:r>
            <w:r w:rsidRPr="009B195B">
              <w:rPr>
                <w:sz w:val="20"/>
                <w:szCs w:val="20"/>
              </w:rPr>
              <w:t xml:space="preserve">     </w:t>
            </w:r>
          </w:p>
          <w:p w14:paraId="678904C4" w14:textId="77777777" w:rsidR="0074142F" w:rsidRPr="009B195B" w:rsidRDefault="0074142F" w:rsidP="00EF7582">
            <w:pPr>
              <w:rPr>
                <w:b/>
                <w:sz w:val="20"/>
                <w:szCs w:val="20"/>
              </w:rPr>
            </w:pPr>
          </w:p>
          <w:p w14:paraId="0E88BA9C" w14:textId="77777777" w:rsidR="009D080F" w:rsidRPr="008F6580" w:rsidRDefault="009D080F" w:rsidP="00EF7582">
            <w:pPr>
              <w:rPr>
                <w:b/>
                <w:sz w:val="20"/>
                <w:szCs w:val="20"/>
              </w:rPr>
            </w:pPr>
            <w:r w:rsidRPr="008F6580">
              <w:rPr>
                <w:b/>
                <w:sz w:val="20"/>
                <w:szCs w:val="20"/>
              </w:rPr>
              <w:t>Proactive Drive</w:t>
            </w:r>
          </w:p>
          <w:p w14:paraId="7D032E1C" w14:textId="4A58C740" w:rsidR="00E72340" w:rsidRPr="008F6580" w:rsidRDefault="00E64FCA" w:rsidP="00E72340">
            <w:pPr>
              <w:rPr>
                <w:rFonts w:ascii="Calibri" w:hAnsi="Calibri" w:cs="Calibri"/>
                <w:sz w:val="20"/>
                <w:szCs w:val="20"/>
              </w:rPr>
            </w:pPr>
            <w:r w:rsidRPr="008F6580">
              <w:rPr>
                <w:sz w:val="20"/>
                <w:szCs w:val="20"/>
              </w:rPr>
              <w:t xml:space="preserve">A proactive drive to </w:t>
            </w:r>
            <w:r w:rsidR="003514D6" w:rsidRPr="008F6580">
              <w:rPr>
                <w:sz w:val="20"/>
                <w:szCs w:val="20"/>
              </w:rPr>
              <w:t xml:space="preserve">identify </w:t>
            </w:r>
            <w:r w:rsidRPr="008F6580">
              <w:rPr>
                <w:sz w:val="20"/>
                <w:szCs w:val="20"/>
              </w:rPr>
              <w:t xml:space="preserve">non occupation/subletting of Council social housing was undertaken.  </w:t>
            </w:r>
            <w:r w:rsidR="00E72340" w:rsidRPr="008F6580">
              <w:rPr>
                <w:sz w:val="20"/>
                <w:szCs w:val="20"/>
              </w:rPr>
              <w:t xml:space="preserve">The </w:t>
            </w:r>
            <w:r w:rsidRPr="008F6580">
              <w:rPr>
                <w:sz w:val="20"/>
                <w:szCs w:val="20"/>
              </w:rPr>
              <w:t xml:space="preserve">key </w:t>
            </w:r>
            <w:r w:rsidR="00E72340" w:rsidRPr="008F6580">
              <w:rPr>
                <w:sz w:val="20"/>
                <w:szCs w:val="20"/>
              </w:rPr>
              <w:t xml:space="preserve">fob </w:t>
            </w:r>
            <w:r w:rsidRPr="008F6580">
              <w:rPr>
                <w:sz w:val="20"/>
                <w:szCs w:val="20"/>
              </w:rPr>
              <w:t xml:space="preserve">entry </w:t>
            </w:r>
            <w:r w:rsidR="00E72340" w:rsidRPr="008F6580">
              <w:rPr>
                <w:sz w:val="20"/>
                <w:szCs w:val="20"/>
              </w:rPr>
              <w:t xml:space="preserve">use </w:t>
            </w:r>
            <w:r w:rsidRPr="008F6580">
              <w:rPr>
                <w:sz w:val="20"/>
                <w:szCs w:val="20"/>
              </w:rPr>
              <w:t xml:space="preserve">system and </w:t>
            </w:r>
            <w:r w:rsidR="003514D6" w:rsidRPr="008F6580">
              <w:rPr>
                <w:sz w:val="20"/>
                <w:szCs w:val="20"/>
              </w:rPr>
              <w:t xml:space="preserve">tenant access </w:t>
            </w:r>
            <w:r w:rsidRPr="008F6580">
              <w:rPr>
                <w:sz w:val="20"/>
                <w:szCs w:val="20"/>
              </w:rPr>
              <w:t xml:space="preserve">activity </w:t>
            </w:r>
            <w:r w:rsidR="00E72340" w:rsidRPr="008F6580">
              <w:rPr>
                <w:sz w:val="20"/>
                <w:szCs w:val="20"/>
              </w:rPr>
              <w:t xml:space="preserve">of </w:t>
            </w:r>
            <w:r w:rsidR="00A3015E" w:rsidRPr="008F6580">
              <w:rPr>
                <w:sz w:val="20"/>
                <w:szCs w:val="20"/>
              </w:rPr>
              <w:t xml:space="preserve">200 </w:t>
            </w:r>
            <w:r w:rsidR="00E72340" w:rsidRPr="008F6580">
              <w:rPr>
                <w:sz w:val="20"/>
                <w:szCs w:val="20"/>
              </w:rPr>
              <w:t xml:space="preserve">flats across four Council estates/blocks </w:t>
            </w:r>
            <w:r w:rsidRPr="008F6580">
              <w:rPr>
                <w:sz w:val="20"/>
                <w:szCs w:val="20"/>
              </w:rPr>
              <w:t xml:space="preserve">was analysed </w:t>
            </w:r>
            <w:r w:rsidR="00E72340" w:rsidRPr="008F6580">
              <w:rPr>
                <w:sz w:val="20"/>
                <w:szCs w:val="20"/>
              </w:rPr>
              <w:t xml:space="preserve">as intelligence from previous cases suggested these were </w:t>
            </w:r>
            <w:r w:rsidRPr="008F6580">
              <w:rPr>
                <w:sz w:val="20"/>
                <w:szCs w:val="20"/>
              </w:rPr>
              <w:t xml:space="preserve">high risks </w:t>
            </w:r>
            <w:r w:rsidR="00E72340" w:rsidRPr="008F6580">
              <w:rPr>
                <w:sz w:val="20"/>
                <w:szCs w:val="20"/>
              </w:rPr>
              <w:t xml:space="preserve">areas </w:t>
            </w:r>
            <w:r w:rsidRPr="008F6580">
              <w:rPr>
                <w:sz w:val="20"/>
                <w:szCs w:val="20"/>
              </w:rPr>
              <w:t xml:space="preserve">in the borough </w:t>
            </w:r>
            <w:r w:rsidR="00E72340" w:rsidRPr="008F6580">
              <w:rPr>
                <w:sz w:val="20"/>
                <w:szCs w:val="20"/>
              </w:rPr>
              <w:t>for consideration.</w:t>
            </w:r>
          </w:p>
          <w:p w14:paraId="7E0CF077" w14:textId="77777777" w:rsidR="00E72340" w:rsidRPr="008F6580" w:rsidRDefault="00E72340" w:rsidP="00E72340">
            <w:pPr>
              <w:rPr>
                <w:rFonts w:eastAsiaTheme="minorHAnsi"/>
                <w:sz w:val="20"/>
                <w:szCs w:val="20"/>
              </w:rPr>
            </w:pPr>
          </w:p>
          <w:p w14:paraId="5171EEA7" w14:textId="4F260274" w:rsidR="00E72340" w:rsidRPr="008F6580" w:rsidRDefault="00E64FCA" w:rsidP="00E72340">
            <w:pPr>
              <w:rPr>
                <w:sz w:val="20"/>
                <w:szCs w:val="20"/>
              </w:rPr>
            </w:pPr>
            <w:r w:rsidRPr="008F6580">
              <w:rPr>
                <w:sz w:val="20"/>
                <w:szCs w:val="20"/>
              </w:rPr>
              <w:t xml:space="preserve">In all, </w:t>
            </w:r>
            <w:r w:rsidR="00E72340" w:rsidRPr="008F6580">
              <w:rPr>
                <w:sz w:val="20"/>
                <w:szCs w:val="20"/>
              </w:rPr>
              <w:t xml:space="preserve">103 flats were identified </w:t>
            </w:r>
            <w:r w:rsidRPr="008F6580">
              <w:rPr>
                <w:sz w:val="20"/>
                <w:szCs w:val="20"/>
              </w:rPr>
              <w:t>for key fob activity analysis</w:t>
            </w:r>
            <w:r w:rsidR="00EB4182" w:rsidRPr="008F6580">
              <w:rPr>
                <w:sz w:val="20"/>
                <w:szCs w:val="20"/>
              </w:rPr>
              <w:t xml:space="preserve"> after initial review</w:t>
            </w:r>
          </w:p>
          <w:p w14:paraId="1ADD6C63" w14:textId="77777777" w:rsidR="00E72340" w:rsidRPr="008F6580" w:rsidRDefault="00E72340" w:rsidP="00E72340">
            <w:pPr>
              <w:rPr>
                <w:rFonts w:eastAsiaTheme="minorHAnsi"/>
                <w:sz w:val="20"/>
                <w:szCs w:val="20"/>
              </w:rPr>
            </w:pPr>
          </w:p>
          <w:p w14:paraId="3B93E523" w14:textId="73A8D4F7" w:rsidR="00E72340" w:rsidRPr="008F6580" w:rsidRDefault="00E72340" w:rsidP="00E72340">
            <w:pPr>
              <w:rPr>
                <w:sz w:val="20"/>
                <w:szCs w:val="20"/>
              </w:rPr>
            </w:pPr>
            <w:r w:rsidRPr="008F6580">
              <w:rPr>
                <w:sz w:val="20"/>
                <w:szCs w:val="20"/>
              </w:rPr>
              <w:t>11 cases were referred for full investigation</w:t>
            </w:r>
            <w:r w:rsidR="000B5C8A" w:rsidRPr="008F6580">
              <w:rPr>
                <w:sz w:val="20"/>
                <w:szCs w:val="20"/>
              </w:rPr>
              <w:t xml:space="preserve"> and </w:t>
            </w:r>
            <w:r w:rsidR="00E07A5B" w:rsidRPr="008F6580">
              <w:rPr>
                <w:sz w:val="20"/>
                <w:szCs w:val="20"/>
              </w:rPr>
              <w:t xml:space="preserve">6 remain under </w:t>
            </w:r>
            <w:r w:rsidR="00F20DAD" w:rsidRPr="008F6580">
              <w:rPr>
                <w:sz w:val="20"/>
                <w:szCs w:val="20"/>
              </w:rPr>
              <w:t xml:space="preserve">full </w:t>
            </w:r>
            <w:r w:rsidR="00E07A5B" w:rsidRPr="008F6580">
              <w:rPr>
                <w:sz w:val="20"/>
                <w:szCs w:val="20"/>
              </w:rPr>
              <w:t>investigation</w:t>
            </w:r>
            <w:r w:rsidRPr="008F6580">
              <w:rPr>
                <w:sz w:val="20"/>
                <w:szCs w:val="20"/>
              </w:rPr>
              <w:t>.</w:t>
            </w:r>
          </w:p>
          <w:p w14:paraId="49C26A20" w14:textId="77777777" w:rsidR="0074142F" w:rsidRPr="00BB61F7" w:rsidRDefault="0074142F" w:rsidP="00EF7582">
            <w:pPr>
              <w:rPr>
                <w:b/>
                <w:color w:val="FF0000"/>
                <w:sz w:val="20"/>
                <w:szCs w:val="20"/>
              </w:rPr>
            </w:pPr>
          </w:p>
          <w:p w14:paraId="6DF196ED" w14:textId="57342E54" w:rsidR="00610F4F" w:rsidRDefault="0017605D" w:rsidP="00EF7582">
            <w:pPr>
              <w:rPr>
                <w:b/>
                <w:sz w:val="20"/>
                <w:szCs w:val="20"/>
              </w:rPr>
            </w:pPr>
            <w:r w:rsidRPr="00D44AD0">
              <w:rPr>
                <w:b/>
                <w:sz w:val="20"/>
                <w:szCs w:val="20"/>
              </w:rPr>
              <w:t xml:space="preserve">Overall fraud </w:t>
            </w:r>
            <w:r w:rsidR="00352746">
              <w:rPr>
                <w:b/>
                <w:sz w:val="20"/>
                <w:szCs w:val="20"/>
              </w:rPr>
              <w:t>loss prevented</w:t>
            </w:r>
            <w:r w:rsidRPr="00D44AD0">
              <w:rPr>
                <w:b/>
                <w:sz w:val="20"/>
                <w:szCs w:val="20"/>
              </w:rPr>
              <w:t xml:space="preserve"> attributed to t</w:t>
            </w:r>
            <w:r w:rsidR="006D01F3" w:rsidRPr="00D44AD0">
              <w:rPr>
                <w:b/>
                <w:sz w:val="20"/>
                <w:szCs w:val="20"/>
              </w:rPr>
              <w:t xml:space="preserve">he housing fraud </w:t>
            </w:r>
            <w:r w:rsidRPr="00D44AD0">
              <w:rPr>
                <w:b/>
                <w:sz w:val="20"/>
                <w:szCs w:val="20"/>
              </w:rPr>
              <w:t>work stream is £</w:t>
            </w:r>
            <w:r w:rsidR="00BA6E0F">
              <w:rPr>
                <w:b/>
                <w:sz w:val="20"/>
                <w:szCs w:val="20"/>
              </w:rPr>
              <w:t>1,270,486.5</w:t>
            </w:r>
            <w:r w:rsidR="00457BE5">
              <w:rPr>
                <w:b/>
                <w:sz w:val="20"/>
                <w:szCs w:val="20"/>
              </w:rPr>
              <w:t xml:space="preserve"> based on:</w:t>
            </w:r>
          </w:p>
          <w:p w14:paraId="446A3C00" w14:textId="77777777" w:rsidR="00610F4F" w:rsidRDefault="00610F4F" w:rsidP="00EF7582">
            <w:pPr>
              <w:rPr>
                <w:b/>
                <w:sz w:val="20"/>
                <w:szCs w:val="20"/>
              </w:rPr>
            </w:pPr>
          </w:p>
          <w:p w14:paraId="5BB2EFA3" w14:textId="2CE7CB99" w:rsidR="00610F4F" w:rsidRPr="00D91B20" w:rsidRDefault="00610F4F" w:rsidP="00165D78">
            <w:pPr>
              <w:pStyle w:val="FootnoteText"/>
              <w:numPr>
                <w:ilvl w:val="0"/>
                <w:numId w:val="5"/>
              </w:numPr>
            </w:pPr>
            <w:r w:rsidRPr="00D91B20">
              <w:t>Tenancy recovery value according to the Cabinet Office and the authorities’ fraud loss formula is £93,000 per unit.</w:t>
            </w:r>
          </w:p>
          <w:p w14:paraId="5E46C5C0" w14:textId="77777777" w:rsidR="00610F4F" w:rsidRPr="00D91B20" w:rsidRDefault="00610F4F" w:rsidP="00457BE5">
            <w:pPr>
              <w:pStyle w:val="FootnoteText"/>
            </w:pPr>
          </w:p>
          <w:p w14:paraId="63B80D98" w14:textId="3664727E" w:rsidR="00143918" w:rsidRPr="00143918" w:rsidRDefault="009C43A7" w:rsidP="00165D78">
            <w:pPr>
              <w:pStyle w:val="ListParagraph"/>
              <w:numPr>
                <w:ilvl w:val="0"/>
                <w:numId w:val="5"/>
              </w:numPr>
              <w:rPr>
                <w:b/>
                <w:sz w:val="20"/>
                <w:szCs w:val="20"/>
              </w:rPr>
            </w:pPr>
            <w:r>
              <w:rPr>
                <w:sz w:val="20"/>
                <w:szCs w:val="20"/>
              </w:rPr>
              <w:lastRenderedPageBreak/>
              <w:t>RTB f</w:t>
            </w:r>
            <w:r w:rsidR="00610F4F" w:rsidRPr="00D91B20">
              <w:rPr>
                <w:sz w:val="20"/>
                <w:szCs w:val="20"/>
              </w:rPr>
              <w:t xml:space="preserve">raud loss prevention value calculated by the authority as per the fraud loss formula is the amount of discount the applicant would qualify for in the purchase; the maximum discount in 2020/21 </w:t>
            </w:r>
            <w:r w:rsidR="00D661BC">
              <w:rPr>
                <w:sz w:val="20"/>
                <w:szCs w:val="20"/>
              </w:rPr>
              <w:t>was</w:t>
            </w:r>
            <w:r w:rsidR="00610F4F" w:rsidRPr="00D91B20">
              <w:rPr>
                <w:sz w:val="20"/>
                <w:szCs w:val="20"/>
              </w:rPr>
              <w:t xml:space="preserve"> £112,300 and in </w:t>
            </w:r>
            <w:r w:rsidR="006465EE">
              <w:rPr>
                <w:sz w:val="20"/>
                <w:szCs w:val="20"/>
              </w:rPr>
              <w:t xml:space="preserve">2021/22 </w:t>
            </w:r>
            <w:r w:rsidR="00D661BC">
              <w:rPr>
                <w:sz w:val="20"/>
                <w:szCs w:val="20"/>
              </w:rPr>
              <w:t>was</w:t>
            </w:r>
            <w:r w:rsidR="006465EE">
              <w:rPr>
                <w:sz w:val="20"/>
                <w:szCs w:val="20"/>
              </w:rPr>
              <w:t xml:space="preserve"> </w:t>
            </w:r>
            <w:r w:rsidR="00185734">
              <w:rPr>
                <w:sz w:val="20"/>
                <w:szCs w:val="20"/>
              </w:rPr>
              <w:t>£112,800</w:t>
            </w:r>
          </w:p>
          <w:p w14:paraId="26EE740F" w14:textId="77777777" w:rsidR="00143918" w:rsidRPr="00143918" w:rsidRDefault="00143918" w:rsidP="00143918">
            <w:pPr>
              <w:pStyle w:val="ListParagraph"/>
              <w:rPr>
                <w:sz w:val="20"/>
                <w:szCs w:val="20"/>
              </w:rPr>
            </w:pPr>
          </w:p>
          <w:p w14:paraId="426E242B" w14:textId="31F682A3" w:rsidR="0017605D" w:rsidRPr="00D91B20" w:rsidRDefault="00143918" w:rsidP="00165D78">
            <w:pPr>
              <w:pStyle w:val="ListParagraph"/>
              <w:numPr>
                <w:ilvl w:val="0"/>
                <w:numId w:val="5"/>
              </w:numPr>
              <w:rPr>
                <w:b/>
                <w:sz w:val="20"/>
                <w:szCs w:val="20"/>
              </w:rPr>
            </w:pPr>
            <w:r>
              <w:rPr>
                <w:sz w:val="20"/>
                <w:szCs w:val="20"/>
              </w:rPr>
              <w:t xml:space="preserve">Housing application fraud </w:t>
            </w:r>
            <w:r w:rsidR="00A416A7">
              <w:rPr>
                <w:sz w:val="20"/>
                <w:szCs w:val="20"/>
              </w:rPr>
              <w:t>l</w:t>
            </w:r>
            <w:r>
              <w:rPr>
                <w:sz w:val="20"/>
                <w:szCs w:val="20"/>
              </w:rPr>
              <w:t>oss</w:t>
            </w:r>
            <w:r w:rsidR="00A416A7">
              <w:rPr>
                <w:sz w:val="20"/>
                <w:szCs w:val="20"/>
              </w:rPr>
              <w:t xml:space="preserve"> prevention value </w:t>
            </w:r>
            <w:r w:rsidR="00CF4F5C">
              <w:rPr>
                <w:sz w:val="20"/>
                <w:szCs w:val="20"/>
              </w:rPr>
              <w:t xml:space="preserve">is calculated </w:t>
            </w:r>
            <w:r w:rsidR="00AA1599">
              <w:rPr>
                <w:sz w:val="20"/>
                <w:szCs w:val="20"/>
              </w:rPr>
              <w:t xml:space="preserve">as £7,176 </w:t>
            </w:r>
            <w:r w:rsidR="00F36E30">
              <w:rPr>
                <w:sz w:val="20"/>
                <w:szCs w:val="20"/>
              </w:rPr>
              <w:t>using the average cost of p</w:t>
            </w:r>
            <w:r w:rsidR="00AA1599">
              <w:rPr>
                <w:sz w:val="20"/>
                <w:szCs w:val="20"/>
              </w:rPr>
              <w:t>l</w:t>
            </w:r>
            <w:r w:rsidR="00F36E30">
              <w:rPr>
                <w:sz w:val="20"/>
                <w:szCs w:val="20"/>
              </w:rPr>
              <w:t xml:space="preserve">acing a household in emergency accommodation </w:t>
            </w:r>
            <w:r w:rsidR="00AA1599">
              <w:rPr>
                <w:sz w:val="20"/>
                <w:szCs w:val="20"/>
              </w:rPr>
              <w:t>for 12 months minus the housing benefit contribution</w:t>
            </w:r>
            <w:r>
              <w:rPr>
                <w:sz w:val="20"/>
                <w:szCs w:val="20"/>
              </w:rPr>
              <w:t xml:space="preserve"> </w:t>
            </w:r>
            <w:r w:rsidR="00610F4F" w:rsidRPr="00D91B20">
              <w:rPr>
                <w:sz w:val="20"/>
                <w:szCs w:val="20"/>
              </w:rPr>
              <w:t xml:space="preserve">  </w:t>
            </w:r>
          </w:p>
          <w:p w14:paraId="166E5798" w14:textId="77777777" w:rsidR="0017605D" w:rsidRPr="006F0585" w:rsidRDefault="0017605D" w:rsidP="00EF7582">
            <w:pPr>
              <w:rPr>
                <w:b/>
                <w:color w:val="FF0000"/>
                <w:sz w:val="20"/>
                <w:szCs w:val="20"/>
              </w:rPr>
            </w:pPr>
          </w:p>
        </w:tc>
      </w:tr>
    </w:tbl>
    <w:p w14:paraId="3B203001" w14:textId="77777777" w:rsidR="0069329D" w:rsidRDefault="0069329D">
      <w:r>
        <w:lastRenderedPageBreak/>
        <w:br w:type="page"/>
      </w:r>
    </w:p>
    <w:tbl>
      <w:tblPr>
        <w:tblW w:w="10490" w:type="dxa"/>
        <w:tblInd w:w="-34" w:type="dxa"/>
        <w:tblLayout w:type="fixed"/>
        <w:tblLook w:val="0000" w:firstRow="0" w:lastRow="0" w:firstColumn="0" w:lastColumn="0" w:noHBand="0" w:noVBand="0"/>
      </w:tblPr>
      <w:tblGrid>
        <w:gridCol w:w="576"/>
        <w:gridCol w:w="3961"/>
        <w:gridCol w:w="5953"/>
      </w:tblGrid>
      <w:tr w:rsidR="0069329D" w:rsidRPr="00380629" w14:paraId="2EF56A8D" w14:textId="77777777" w:rsidTr="002D554F">
        <w:trPr>
          <w:trHeight w:val="251"/>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5CDE639D" w14:textId="77777777" w:rsidR="0069329D" w:rsidRPr="0069329D" w:rsidRDefault="0069329D" w:rsidP="004E23DA">
            <w:pPr>
              <w:rPr>
                <w:sz w:val="20"/>
                <w:szCs w:val="20"/>
              </w:rPr>
            </w:pPr>
          </w:p>
        </w:tc>
        <w:tc>
          <w:tcPr>
            <w:tcW w:w="3961" w:type="dxa"/>
            <w:tcBorders>
              <w:top w:val="single" w:sz="4" w:space="0" w:color="auto"/>
              <w:left w:val="single" w:sz="4" w:space="0" w:color="auto"/>
              <w:bottom w:val="single" w:sz="4" w:space="0" w:color="auto"/>
              <w:right w:val="single" w:sz="4" w:space="0" w:color="auto"/>
            </w:tcBorders>
            <w:shd w:val="clear" w:color="auto" w:fill="002060"/>
            <w:noWrap/>
          </w:tcPr>
          <w:p w14:paraId="5AA0624A" w14:textId="77777777" w:rsidR="0069329D" w:rsidRPr="001E0720" w:rsidRDefault="0069329D" w:rsidP="003326D7">
            <w:pPr>
              <w:rPr>
                <w:b/>
                <w:sz w:val="20"/>
                <w:szCs w:val="20"/>
              </w:rPr>
            </w:pPr>
            <w:r w:rsidRPr="001E0720">
              <w:rPr>
                <w:b/>
                <w:sz w:val="20"/>
                <w:szCs w:val="20"/>
              </w:rPr>
              <w:t>Fraud work stream</w:t>
            </w:r>
          </w:p>
        </w:tc>
        <w:tc>
          <w:tcPr>
            <w:tcW w:w="5953" w:type="dxa"/>
            <w:tcBorders>
              <w:top w:val="single" w:sz="4" w:space="0" w:color="auto"/>
              <w:left w:val="nil"/>
              <w:bottom w:val="single" w:sz="4" w:space="0" w:color="auto"/>
              <w:right w:val="single" w:sz="4" w:space="0" w:color="auto"/>
            </w:tcBorders>
            <w:shd w:val="clear" w:color="auto" w:fill="002060"/>
          </w:tcPr>
          <w:p w14:paraId="55E78C12" w14:textId="77777777" w:rsidR="0069329D" w:rsidRPr="001E0720" w:rsidRDefault="003326D7" w:rsidP="004E23DA">
            <w:pPr>
              <w:rPr>
                <w:b/>
                <w:sz w:val="20"/>
                <w:szCs w:val="20"/>
              </w:rPr>
            </w:pPr>
            <w:r w:rsidRPr="001E0720">
              <w:rPr>
                <w:b/>
                <w:sz w:val="20"/>
                <w:szCs w:val="20"/>
                <w:lang w:val="en-US"/>
              </w:rPr>
              <w:t>Detail</w:t>
            </w:r>
          </w:p>
        </w:tc>
      </w:tr>
      <w:tr w:rsidR="006F0585" w:rsidRPr="005F0B23" w14:paraId="3FBD0DD4" w14:textId="77777777" w:rsidTr="002D554F">
        <w:trPr>
          <w:trHeight w:val="251"/>
        </w:trPr>
        <w:tc>
          <w:tcPr>
            <w:tcW w:w="576" w:type="dxa"/>
            <w:tcBorders>
              <w:top w:val="single" w:sz="4" w:space="0" w:color="auto"/>
              <w:left w:val="single" w:sz="4" w:space="0" w:color="auto"/>
              <w:bottom w:val="single" w:sz="4" w:space="0" w:color="auto"/>
              <w:right w:val="single" w:sz="4" w:space="0" w:color="auto"/>
            </w:tcBorders>
          </w:tcPr>
          <w:p w14:paraId="18057F2A" w14:textId="77777777" w:rsidR="006F0585" w:rsidRDefault="006F0585" w:rsidP="007816FE">
            <w:pPr>
              <w:rPr>
                <w:sz w:val="20"/>
                <w:szCs w:val="20"/>
              </w:rPr>
            </w:pPr>
            <w:r>
              <w:rPr>
                <w:sz w:val="20"/>
                <w:szCs w:val="20"/>
              </w:rPr>
              <w:t>10.</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25EC1CDD" w14:textId="6A872311" w:rsidR="006F0585" w:rsidRDefault="006F0585" w:rsidP="007816FE">
            <w:pPr>
              <w:rPr>
                <w:b/>
                <w:sz w:val="20"/>
                <w:szCs w:val="20"/>
              </w:rPr>
            </w:pPr>
            <w:r>
              <w:rPr>
                <w:b/>
                <w:sz w:val="20"/>
                <w:szCs w:val="20"/>
              </w:rPr>
              <w:t xml:space="preserve">Covid-19 </w:t>
            </w:r>
            <w:r w:rsidR="00BE455B">
              <w:rPr>
                <w:b/>
                <w:sz w:val="20"/>
                <w:szCs w:val="20"/>
              </w:rPr>
              <w:t>Restart</w:t>
            </w:r>
            <w:r>
              <w:rPr>
                <w:b/>
                <w:sz w:val="20"/>
                <w:szCs w:val="20"/>
              </w:rPr>
              <w:t xml:space="preserve"> Grants</w:t>
            </w:r>
          </w:p>
          <w:p w14:paraId="6E1C235F" w14:textId="77777777" w:rsidR="006F0585" w:rsidRDefault="006F0585" w:rsidP="006F0585">
            <w:pPr>
              <w:pStyle w:val="Default"/>
              <w:rPr>
                <w:sz w:val="20"/>
                <w:szCs w:val="20"/>
              </w:rPr>
            </w:pPr>
          </w:p>
          <w:p w14:paraId="1FBE47DA" w14:textId="77777777" w:rsidR="009F26F0" w:rsidRDefault="009F26F0" w:rsidP="009F26F0">
            <w:pPr>
              <w:pStyle w:val="Default"/>
              <w:rPr>
                <w:sz w:val="20"/>
                <w:szCs w:val="20"/>
              </w:rPr>
            </w:pPr>
            <w:r>
              <w:rPr>
                <w:sz w:val="20"/>
                <w:szCs w:val="20"/>
              </w:rPr>
              <w:t xml:space="preserve">Work jointly with Internal Audit to undertake a review of the Restart Grants and implemented by the authority to provide financial assistance to local businesses in Harrow. This work may identify suspected fraud cases which will be investigated fully and steps taken to recover any losses identified </w:t>
            </w:r>
          </w:p>
          <w:p w14:paraId="55B86717" w14:textId="77777777" w:rsidR="006F0585" w:rsidRPr="007C6042" w:rsidRDefault="006F0585" w:rsidP="007816FE">
            <w:pPr>
              <w:rPr>
                <w:b/>
                <w:sz w:val="20"/>
                <w:szCs w:val="20"/>
              </w:rPr>
            </w:pPr>
          </w:p>
        </w:tc>
        <w:tc>
          <w:tcPr>
            <w:tcW w:w="5953" w:type="dxa"/>
            <w:tcBorders>
              <w:top w:val="single" w:sz="4" w:space="0" w:color="auto"/>
              <w:left w:val="nil"/>
              <w:bottom w:val="single" w:sz="4" w:space="0" w:color="auto"/>
              <w:right w:val="single" w:sz="4" w:space="0" w:color="auto"/>
            </w:tcBorders>
            <w:shd w:val="clear" w:color="auto" w:fill="auto"/>
          </w:tcPr>
          <w:p w14:paraId="1E57CE33" w14:textId="4F81DA89" w:rsidR="00FA615B" w:rsidRPr="0009648F" w:rsidRDefault="00FA615B" w:rsidP="00E77593">
            <w:pPr>
              <w:pStyle w:val="Default"/>
              <w:rPr>
                <w:b/>
                <w:color w:val="auto"/>
                <w:sz w:val="20"/>
                <w:szCs w:val="20"/>
              </w:rPr>
            </w:pPr>
            <w:r w:rsidRPr="0009648F">
              <w:rPr>
                <w:b/>
                <w:color w:val="auto"/>
                <w:sz w:val="20"/>
                <w:szCs w:val="20"/>
              </w:rPr>
              <w:t xml:space="preserve">Objective </w:t>
            </w:r>
            <w:r w:rsidR="00CF6010" w:rsidRPr="0009648F">
              <w:rPr>
                <w:b/>
                <w:color w:val="auto"/>
                <w:sz w:val="20"/>
                <w:szCs w:val="20"/>
              </w:rPr>
              <w:t>not undertaken</w:t>
            </w:r>
          </w:p>
          <w:p w14:paraId="3866F965" w14:textId="77777777" w:rsidR="00610F4F" w:rsidRPr="0009648F" w:rsidRDefault="00610F4F" w:rsidP="00A848A3">
            <w:pPr>
              <w:rPr>
                <w:sz w:val="20"/>
                <w:szCs w:val="20"/>
                <w:lang w:val="en-US"/>
              </w:rPr>
            </w:pPr>
          </w:p>
          <w:p w14:paraId="19DC03A7" w14:textId="3A25F5E3" w:rsidR="00917B29" w:rsidRPr="0009648F" w:rsidRDefault="00A848A3" w:rsidP="00A848A3">
            <w:pPr>
              <w:rPr>
                <w:sz w:val="20"/>
                <w:szCs w:val="20"/>
                <w:lang w:val="en-US"/>
              </w:rPr>
            </w:pPr>
            <w:r w:rsidRPr="0009648F">
              <w:rPr>
                <w:sz w:val="20"/>
                <w:szCs w:val="20"/>
                <w:lang w:val="en-US"/>
              </w:rPr>
              <w:t xml:space="preserve">Internal Audit </w:t>
            </w:r>
            <w:r w:rsidR="00EB4182" w:rsidRPr="0009648F">
              <w:rPr>
                <w:sz w:val="20"/>
                <w:szCs w:val="20"/>
                <w:lang w:val="en-US"/>
              </w:rPr>
              <w:t xml:space="preserve">undertook </w:t>
            </w:r>
            <w:r w:rsidR="00610F4F" w:rsidRPr="0009648F">
              <w:rPr>
                <w:sz w:val="20"/>
                <w:szCs w:val="20"/>
                <w:lang w:val="en-US"/>
              </w:rPr>
              <w:t>the</w:t>
            </w:r>
            <w:r w:rsidR="00EB4182" w:rsidRPr="0009648F">
              <w:rPr>
                <w:sz w:val="20"/>
                <w:szCs w:val="20"/>
                <w:lang w:val="en-US"/>
              </w:rPr>
              <w:t xml:space="preserve"> audit of Covid </w:t>
            </w:r>
            <w:r w:rsidR="00A45723" w:rsidRPr="0009648F">
              <w:rPr>
                <w:sz w:val="20"/>
                <w:szCs w:val="20"/>
                <w:lang w:val="en-US"/>
              </w:rPr>
              <w:t xml:space="preserve">Restart </w:t>
            </w:r>
            <w:r w:rsidR="00EB4182" w:rsidRPr="0009648F">
              <w:rPr>
                <w:sz w:val="20"/>
                <w:szCs w:val="20"/>
                <w:lang w:val="en-US"/>
              </w:rPr>
              <w:t xml:space="preserve">Grant </w:t>
            </w:r>
            <w:r w:rsidR="00AD7E8F" w:rsidRPr="0009648F">
              <w:rPr>
                <w:sz w:val="20"/>
                <w:szCs w:val="20"/>
                <w:lang w:val="en-US"/>
              </w:rPr>
              <w:t xml:space="preserve">applications </w:t>
            </w:r>
            <w:r w:rsidR="00EB4182" w:rsidRPr="0009648F">
              <w:rPr>
                <w:sz w:val="20"/>
                <w:szCs w:val="20"/>
                <w:lang w:val="en-US"/>
              </w:rPr>
              <w:t>processed during the</w:t>
            </w:r>
            <w:r w:rsidR="00AD7E8F" w:rsidRPr="0009648F">
              <w:rPr>
                <w:sz w:val="20"/>
                <w:szCs w:val="20"/>
                <w:lang w:val="en-US"/>
              </w:rPr>
              <w:t xml:space="preserve"> year</w:t>
            </w:r>
            <w:r w:rsidR="00917B29" w:rsidRPr="0009648F">
              <w:rPr>
                <w:sz w:val="20"/>
                <w:szCs w:val="20"/>
                <w:lang w:val="en-US"/>
              </w:rPr>
              <w:t xml:space="preserve"> and the intention was to refer any concerns to the CAFT for investigation</w:t>
            </w:r>
            <w:r w:rsidR="00610F4F" w:rsidRPr="0009648F">
              <w:rPr>
                <w:sz w:val="20"/>
                <w:szCs w:val="20"/>
                <w:lang w:val="en-US"/>
              </w:rPr>
              <w:t>, however</w:t>
            </w:r>
            <w:r w:rsidR="00917B29" w:rsidRPr="0009648F">
              <w:rPr>
                <w:sz w:val="20"/>
                <w:szCs w:val="20"/>
                <w:lang w:val="en-US"/>
              </w:rPr>
              <w:t xml:space="preserve"> </w:t>
            </w:r>
            <w:r w:rsidR="00610F4F" w:rsidRPr="0009648F">
              <w:rPr>
                <w:sz w:val="20"/>
                <w:szCs w:val="20"/>
                <w:lang w:val="en-US"/>
              </w:rPr>
              <w:t>n</w:t>
            </w:r>
            <w:r w:rsidR="00917B29" w:rsidRPr="0009648F">
              <w:rPr>
                <w:sz w:val="20"/>
                <w:szCs w:val="20"/>
                <w:lang w:val="en-US"/>
              </w:rPr>
              <w:t xml:space="preserve">o fraud referrals </w:t>
            </w:r>
            <w:r w:rsidR="00405DDD" w:rsidRPr="0009648F">
              <w:rPr>
                <w:sz w:val="20"/>
                <w:szCs w:val="20"/>
                <w:lang w:val="en-US"/>
              </w:rPr>
              <w:t xml:space="preserve">were </w:t>
            </w:r>
            <w:r w:rsidR="00917B29" w:rsidRPr="0009648F">
              <w:rPr>
                <w:sz w:val="20"/>
                <w:szCs w:val="20"/>
                <w:lang w:val="en-US"/>
              </w:rPr>
              <w:t>made during the audit.</w:t>
            </w:r>
          </w:p>
          <w:p w14:paraId="0CB6CED4" w14:textId="77777777" w:rsidR="00917B29" w:rsidRDefault="00917B29" w:rsidP="00A848A3">
            <w:pPr>
              <w:rPr>
                <w:color w:val="FF0000"/>
                <w:sz w:val="20"/>
                <w:szCs w:val="20"/>
                <w:lang w:val="en-US"/>
              </w:rPr>
            </w:pPr>
          </w:p>
          <w:p w14:paraId="51B24991" w14:textId="68FB57AF" w:rsidR="00A848A3" w:rsidRPr="00917B29" w:rsidRDefault="00A848A3" w:rsidP="00A848A3">
            <w:pPr>
              <w:rPr>
                <w:color w:val="FF0000"/>
                <w:sz w:val="20"/>
                <w:szCs w:val="20"/>
                <w:lang w:val="en-US"/>
              </w:rPr>
            </w:pPr>
          </w:p>
        </w:tc>
      </w:tr>
      <w:tr w:rsidR="0017605D" w:rsidRPr="005F0B23" w14:paraId="3B6D39B4" w14:textId="77777777" w:rsidTr="002D554F">
        <w:trPr>
          <w:trHeight w:val="251"/>
        </w:trPr>
        <w:tc>
          <w:tcPr>
            <w:tcW w:w="576" w:type="dxa"/>
            <w:tcBorders>
              <w:top w:val="single" w:sz="4" w:space="0" w:color="auto"/>
              <w:left w:val="single" w:sz="4" w:space="0" w:color="auto"/>
              <w:bottom w:val="single" w:sz="4" w:space="0" w:color="auto"/>
              <w:right w:val="single" w:sz="4" w:space="0" w:color="auto"/>
            </w:tcBorders>
          </w:tcPr>
          <w:p w14:paraId="52C842CD" w14:textId="77777777" w:rsidR="0017605D" w:rsidRPr="005F0B23" w:rsidRDefault="006F0585" w:rsidP="007816FE">
            <w:pPr>
              <w:rPr>
                <w:sz w:val="20"/>
                <w:szCs w:val="20"/>
              </w:rPr>
            </w:pPr>
            <w:r>
              <w:rPr>
                <w:sz w:val="20"/>
                <w:szCs w:val="20"/>
              </w:rPr>
              <w:t>11.</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67B78292" w14:textId="77777777" w:rsidR="0017605D" w:rsidRPr="007C6042" w:rsidRDefault="0017605D" w:rsidP="007816FE">
            <w:pPr>
              <w:rPr>
                <w:b/>
                <w:sz w:val="20"/>
                <w:szCs w:val="20"/>
              </w:rPr>
            </w:pPr>
            <w:r w:rsidRPr="007C6042">
              <w:rPr>
                <w:b/>
                <w:sz w:val="20"/>
                <w:szCs w:val="20"/>
              </w:rPr>
              <w:t>Internal fraud &amp; corruption</w:t>
            </w:r>
          </w:p>
          <w:p w14:paraId="0618FB8D" w14:textId="77777777" w:rsidR="0017605D" w:rsidRPr="007C6042" w:rsidRDefault="0017605D" w:rsidP="007816FE">
            <w:pPr>
              <w:rPr>
                <w:b/>
                <w:sz w:val="20"/>
                <w:szCs w:val="20"/>
              </w:rPr>
            </w:pPr>
          </w:p>
          <w:p w14:paraId="4F074A5C" w14:textId="77777777" w:rsidR="007E43BD" w:rsidRDefault="007E43BD" w:rsidP="007E43BD">
            <w:pPr>
              <w:pStyle w:val="Default"/>
              <w:rPr>
                <w:sz w:val="20"/>
                <w:szCs w:val="20"/>
              </w:rPr>
            </w:pPr>
            <w:r>
              <w:rPr>
                <w:sz w:val="20"/>
                <w:szCs w:val="20"/>
              </w:rPr>
              <w:t xml:space="preserve">Risk </w:t>
            </w:r>
            <w:proofErr w:type="gramStart"/>
            <w:r>
              <w:rPr>
                <w:sz w:val="20"/>
                <w:szCs w:val="20"/>
              </w:rPr>
              <w:t>assess</w:t>
            </w:r>
            <w:proofErr w:type="gramEnd"/>
            <w:r>
              <w:rPr>
                <w:sz w:val="20"/>
                <w:szCs w:val="20"/>
              </w:rPr>
              <w:t xml:space="preserve"> at least 85% of allegations of internal fraud and corruption as a priority and deploy resources on those cases where there is corroborative evidence within an average of 5 workings days of receipt of the information (KPI3) </w:t>
            </w:r>
          </w:p>
          <w:p w14:paraId="7B90BECD" w14:textId="77777777" w:rsidR="0017605D" w:rsidRPr="007C6042" w:rsidRDefault="0017605D" w:rsidP="007816FE">
            <w:pPr>
              <w:rPr>
                <w:b/>
                <w:sz w:val="20"/>
                <w:szCs w:val="20"/>
              </w:rPr>
            </w:pPr>
          </w:p>
        </w:tc>
        <w:tc>
          <w:tcPr>
            <w:tcW w:w="5953" w:type="dxa"/>
            <w:tcBorders>
              <w:top w:val="single" w:sz="4" w:space="0" w:color="auto"/>
              <w:left w:val="nil"/>
              <w:bottom w:val="single" w:sz="4" w:space="0" w:color="auto"/>
              <w:right w:val="single" w:sz="4" w:space="0" w:color="auto"/>
            </w:tcBorders>
            <w:shd w:val="clear" w:color="auto" w:fill="auto"/>
          </w:tcPr>
          <w:p w14:paraId="7AF4AE0A" w14:textId="0A1B9F9D" w:rsidR="0017605D" w:rsidRPr="00313F20" w:rsidRDefault="00125009" w:rsidP="00D7770D">
            <w:pPr>
              <w:rPr>
                <w:b/>
                <w:sz w:val="20"/>
                <w:szCs w:val="20"/>
              </w:rPr>
            </w:pPr>
            <w:r>
              <w:rPr>
                <w:b/>
                <w:sz w:val="20"/>
                <w:szCs w:val="20"/>
              </w:rPr>
              <w:t xml:space="preserve">Objective </w:t>
            </w:r>
            <w:r w:rsidR="008F099F">
              <w:rPr>
                <w:b/>
                <w:sz w:val="20"/>
                <w:szCs w:val="20"/>
              </w:rPr>
              <w:t>achieved</w:t>
            </w:r>
          </w:p>
          <w:p w14:paraId="17C5A14F" w14:textId="77777777" w:rsidR="00F942E6" w:rsidRPr="00313F20" w:rsidRDefault="00F942E6" w:rsidP="00D7770D">
            <w:pPr>
              <w:rPr>
                <w:sz w:val="20"/>
                <w:szCs w:val="20"/>
              </w:rPr>
            </w:pPr>
          </w:p>
          <w:p w14:paraId="13CA07ED" w14:textId="7D44EA59" w:rsidR="004F3AA5" w:rsidRDefault="000C3E43" w:rsidP="000E3A61">
            <w:pPr>
              <w:rPr>
                <w:sz w:val="20"/>
                <w:szCs w:val="20"/>
              </w:rPr>
            </w:pPr>
            <w:r w:rsidRPr="00313F20">
              <w:rPr>
                <w:sz w:val="20"/>
                <w:szCs w:val="20"/>
              </w:rPr>
              <w:t xml:space="preserve">Of the </w:t>
            </w:r>
            <w:r w:rsidR="006430DD">
              <w:rPr>
                <w:sz w:val="20"/>
                <w:szCs w:val="20"/>
              </w:rPr>
              <w:t>12</w:t>
            </w:r>
            <w:r w:rsidR="0017605D" w:rsidRPr="00313F20">
              <w:rPr>
                <w:sz w:val="20"/>
                <w:szCs w:val="20"/>
              </w:rPr>
              <w:t xml:space="preserve"> intern</w:t>
            </w:r>
            <w:r w:rsidR="00F942E6" w:rsidRPr="00313F20">
              <w:rPr>
                <w:sz w:val="20"/>
                <w:szCs w:val="20"/>
              </w:rPr>
              <w:t>al fraud referrals received,</w:t>
            </w:r>
            <w:r w:rsidR="00B75853">
              <w:rPr>
                <w:sz w:val="20"/>
                <w:szCs w:val="20"/>
              </w:rPr>
              <w:t xml:space="preserve"> </w:t>
            </w:r>
            <w:r w:rsidR="006430DD">
              <w:rPr>
                <w:sz w:val="20"/>
                <w:szCs w:val="20"/>
              </w:rPr>
              <w:t xml:space="preserve">11 </w:t>
            </w:r>
            <w:r w:rsidR="0017605D" w:rsidRPr="00313F20">
              <w:rPr>
                <w:sz w:val="20"/>
                <w:szCs w:val="20"/>
              </w:rPr>
              <w:t xml:space="preserve">were risk assessed and resources allocated </w:t>
            </w:r>
            <w:r w:rsidR="00B75853">
              <w:rPr>
                <w:sz w:val="20"/>
                <w:szCs w:val="20"/>
              </w:rPr>
              <w:t xml:space="preserve">within </w:t>
            </w:r>
            <w:r w:rsidR="0017605D" w:rsidRPr="00313F20">
              <w:rPr>
                <w:sz w:val="20"/>
                <w:szCs w:val="20"/>
              </w:rPr>
              <w:t>in 5 working days</w:t>
            </w:r>
            <w:r w:rsidR="006430DD">
              <w:rPr>
                <w:sz w:val="20"/>
                <w:szCs w:val="20"/>
              </w:rPr>
              <w:t>.</w:t>
            </w:r>
            <w:r w:rsidR="00B75853">
              <w:rPr>
                <w:sz w:val="20"/>
                <w:szCs w:val="20"/>
              </w:rPr>
              <w:t xml:space="preserve"> </w:t>
            </w:r>
          </w:p>
          <w:p w14:paraId="489ED9BA" w14:textId="77777777" w:rsidR="00927175" w:rsidRPr="00313F20" w:rsidRDefault="00927175" w:rsidP="000E3A61">
            <w:pPr>
              <w:rPr>
                <w:sz w:val="20"/>
                <w:szCs w:val="20"/>
              </w:rPr>
            </w:pPr>
          </w:p>
          <w:p w14:paraId="11138B1E" w14:textId="78069863" w:rsidR="0017605D" w:rsidRPr="00313F20" w:rsidRDefault="00A31D7E" w:rsidP="000E3A61">
            <w:pPr>
              <w:rPr>
                <w:b/>
                <w:sz w:val="20"/>
                <w:szCs w:val="20"/>
              </w:rPr>
            </w:pPr>
            <w:r w:rsidRPr="00313F20">
              <w:rPr>
                <w:b/>
                <w:sz w:val="20"/>
                <w:szCs w:val="20"/>
              </w:rPr>
              <w:t>KPI3 target 8</w:t>
            </w:r>
            <w:r w:rsidR="00280FBF">
              <w:rPr>
                <w:b/>
                <w:sz w:val="20"/>
                <w:szCs w:val="20"/>
              </w:rPr>
              <w:t>5</w:t>
            </w:r>
            <w:r w:rsidRPr="00313F20">
              <w:rPr>
                <w:b/>
                <w:sz w:val="20"/>
                <w:szCs w:val="20"/>
              </w:rPr>
              <w:t>%, achiev</w:t>
            </w:r>
            <w:r w:rsidR="003514D6">
              <w:rPr>
                <w:b/>
                <w:sz w:val="20"/>
                <w:szCs w:val="20"/>
              </w:rPr>
              <w:t>ed</w:t>
            </w:r>
            <w:r w:rsidR="00F942E6" w:rsidRPr="00313F20">
              <w:rPr>
                <w:b/>
                <w:sz w:val="20"/>
                <w:szCs w:val="20"/>
              </w:rPr>
              <w:t xml:space="preserve"> </w:t>
            </w:r>
            <w:r w:rsidR="007367A0">
              <w:rPr>
                <w:b/>
                <w:sz w:val="20"/>
                <w:szCs w:val="20"/>
              </w:rPr>
              <w:t>92</w:t>
            </w:r>
            <w:r w:rsidR="004F3AA5" w:rsidRPr="00313F20">
              <w:rPr>
                <w:b/>
                <w:sz w:val="20"/>
                <w:szCs w:val="20"/>
              </w:rPr>
              <w:t>%</w:t>
            </w:r>
            <w:r w:rsidR="0017605D" w:rsidRPr="00313F20">
              <w:rPr>
                <w:b/>
                <w:sz w:val="20"/>
                <w:szCs w:val="20"/>
              </w:rPr>
              <w:t>.</w:t>
            </w:r>
          </w:p>
          <w:p w14:paraId="35CCA982" w14:textId="77777777" w:rsidR="0017605D" w:rsidRPr="00313F20" w:rsidRDefault="0017605D" w:rsidP="000E3A61">
            <w:pPr>
              <w:rPr>
                <w:sz w:val="20"/>
                <w:szCs w:val="20"/>
              </w:rPr>
            </w:pPr>
            <w:r w:rsidRPr="00313F20">
              <w:rPr>
                <w:sz w:val="20"/>
                <w:szCs w:val="20"/>
              </w:rPr>
              <w:t xml:space="preserve">  </w:t>
            </w:r>
          </w:p>
          <w:p w14:paraId="00DF5F15" w14:textId="72FE4426" w:rsidR="001D6A6F" w:rsidRDefault="00D31457" w:rsidP="00D7770D">
            <w:pPr>
              <w:rPr>
                <w:sz w:val="20"/>
                <w:szCs w:val="20"/>
              </w:rPr>
            </w:pPr>
            <w:r w:rsidRPr="00313F20">
              <w:rPr>
                <w:sz w:val="20"/>
                <w:szCs w:val="20"/>
              </w:rPr>
              <w:t xml:space="preserve">There </w:t>
            </w:r>
            <w:r w:rsidR="00AA3A94">
              <w:rPr>
                <w:sz w:val="20"/>
                <w:szCs w:val="20"/>
              </w:rPr>
              <w:t>were</w:t>
            </w:r>
            <w:r w:rsidR="004F3AA5" w:rsidRPr="00313F20">
              <w:rPr>
                <w:sz w:val="20"/>
                <w:szCs w:val="20"/>
              </w:rPr>
              <w:t xml:space="preserve"> </w:t>
            </w:r>
            <w:r w:rsidR="00F73A52">
              <w:rPr>
                <w:sz w:val="20"/>
                <w:szCs w:val="20"/>
              </w:rPr>
              <w:t>8</w:t>
            </w:r>
            <w:r w:rsidR="004F3AA5" w:rsidRPr="00313F20">
              <w:rPr>
                <w:sz w:val="20"/>
                <w:szCs w:val="20"/>
              </w:rPr>
              <w:t xml:space="preserve"> </w:t>
            </w:r>
            <w:r w:rsidR="00D41812" w:rsidRPr="00313F20">
              <w:rPr>
                <w:sz w:val="20"/>
                <w:szCs w:val="20"/>
              </w:rPr>
              <w:t>positive outcome</w:t>
            </w:r>
            <w:r w:rsidR="00F73A52">
              <w:rPr>
                <w:sz w:val="20"/>
                <w:szCs w:val="20"/>
              </w:rPr>
              <w:t>s</w:t>
            </w:r>
            <w:r w:rsidR="0017605D" w:rsidRPr="00313F20">
              <w:rPr>
                <w:sz w:val="20"/>
                <w:szCs w:val="20"/>
              </w:rPr>
              <w:t xml:space="preserve"> during the</w:t>
            </w:r>
            <w:r w:rsidR="00F73A52">
              <w:rPr>
                <w:sz w:val="20"/>
                <w:szCs w:val="20"/>
              </w:rPr>
              <w:t xml:space="preserve"> year</w:t>
            </w:r>
            <w:r w:rsidR="00AA3A94">
              <w:rPr>
                <w:sz w:val="20"/>
                <w:szCs w:val="20"/>
              </w:rPr>
              <w:t xml:space="preserve"> which involved 7 employees summarily dismissed and 1 employee </w:t>
            </w:r>
            <w:r w:rsidR="001D6A6F">
              <w:rPr>
                <w:sz w:val="20"/>
                <w:szCs w:val="20"/>
              </w:rPr>
              <w:t>disciplined</w:t>
            </w:r>
            <w:r w:rsidR="00F73A52">
              <w:rPr>
                <w:sz w:val="20"/>
                <w:szCs w:val="20"/>
              </w:rPr>
              <w:t>.</w:t>
            </w:r>
          </w:p>
          <w:p w14:paraId="2E3E42BB" w14:textId="4AEA6258" w:rsidR="00661183" w:rsidRPr="00313F20" w:rsidRDefault="00F73A52" w:rsidP="003C572F">
            <w:pPr>
              <w:rPr>
                <w:sz w:val="20"/>
                <w:szCs w:val="20"/>
              </w:rPr>
            </w:pPr>
            <w:r>
              <w:rPr>
                <w:sz w:val="20"/>
                <w:szCs w:val="20"/>
              </w:rPr>
              <w:t xml:space="preserve"> </w:t>
            </w:r>
            <w:r w:rsidR="0017605D" w:rsidRPr="00313F20">
              <w:rPr>
                <w:sz w:val="20"/>
                <w:szCs w:val="20"/>
              </w:rPr>
              <w:t xml:space="preserve"> </w:t>
            </w:r>
          </w:p>
          <w:p w14:paraId="20DBDB22" w14:textId="447416C0" w:rsidR="0017605D" w:rsidRDefault="0017605D" w:rsidP="006E47CC">
            <w:pPr>
              <w:rPr>
                <w:b/>
                <w:sz w:val="20"/>
                <w:szCs w:val="20"/>
              </w:rPr>
            </w:pPr>
            <w:r w:rsidRPr="00313F20">
              <w:rPr>
                <w:b/>
                <w:sz w:val="20"/>
                <w:szCs w:val="20"/>
              </w:rPr>
              <w:t xml:space="preserve">Overall fraud </w:t>
            </w:r>
            <w:r w:rsidR="00352746">
              <w:rPr>
                <w:b/>
                <w:sz w:val="20"/>
                <w:szCs w:val="20"/>
              </w:rPr>
              <w:t>loss prevented</w:t>
            </w:r>
            <w:r w:rsidRPr="00313F20">
              <w:rPr>
                <w:b/>
                <w:sz w:val="20"/>
                <w:szCs w:val="20"/>
              </w:rPr>
              <w:t xml:space="preserve"> attributed</w:t>
            </w:r>
            <w:r w:rsidR="00D41812" w:rsidRPr="00313F20">
              <w:rPr>
                <w:b/>
                <w:sz w:val="20"/>
                <w:szCs w:val="20"/>
              </w:rPr>
              <w:t xml:space="preserve"> to this work stream is </w:t>
            </w:r>
            <w:r w:rsidR="00D41812" w:rsidRPr="004E3ED0">
              <w:rPr>
                <w:b/>
                <w:sz w:val="20"/>
                <w:szCs w:val="20"/>
              </w:rPr>
              <w:t>£</w:t>
            </w:r>
            <w:r w:rsidR="004E3ED0" w:rsidRPr="004E3ED0">
              <w:rPr>
                <w:b/>
                <w:sz w:val="20"/>
                <w:szCs w:val="20"/>
              </w:rPr>
              <w:t>130,068.5</w:t>
            </w:r>
            <w:r w:rsidR="003F11D7">
              <w:rPr>
                <w:b/>
                <w:sz w:val="20"/>
                <w:szCs w:val="20"/>
              </w:rPr>
              <w:t>.  Loss figure calculated by using the annual salary of the dismissed individual</w:t>
            </w:r>
            <w:r w:rsidR="003C3B2E">
              <w:rPr>
                <w:b/>
                <w:sz w:val="20"/>
                <w:szCs w:val="20"/>
              </w:rPr>
              <w:t xml:space="preserve"> in line with the fraud loss formula</w:t>
            </w:r>
            <w:r w:rsidR="003F11D7">
              <w:rPr>
                <w:b/>
                <w:sz w:val="20"/>
                <w:szCs w:val="20"/>
              </w:rPr>
              <w:t xml:space="preserve"> </w:t>
            </w:r>
          </w:p>
          <w:p w14:paraId="0BD66855" w14:textId="3A4FC240" w:rsidR="00F50C7D" w:rsidRPr="00F50C7D" w:rsidRDefault="00F50C7D" w:rsidP="006E47CC">
            <w:pPr>
              <w:rPr>
                <w:b/>
                <w:sz w:val="20"/>
                <w:szCs w:val="20"/>
              </w:rPr>
            </w:pPr>
          </w:p>
        </w:tc>
      </w:tr>
      <w:tr w:rsidR="0017605D" w:rsidRPr="006B4ED5" w14:paraId="048641BF" w14:textId="77777777" w:rsidTr="002D554F">
        <w:trPr>
          <w:trHeight w:val="251"/>
        </w:trPr>
        <w:tc>
          <w:tcPr>
            <w:tcW w:w="576" w:type="dxa"/>
            <w:tcBorders>
              <w:top w:val="single" w:sz="4" w:space="0" w:color="auto"/>
              <w:left w:val="single" w:sz="4" w:space="0" w:color="auto"/>
              <w:bottom w:val="single" w:sz="4" w:space="0" w:color="auto"/>
              <w:right w:val="single" w:sz="4" w:space="0" w:color="auto"/>
            </w:tcBorders>
          </w:tcPr>
          <w:p w14:paraId="684B8A67" w14:textId="77777777" w:rsidR="0017605D" w:rsidRPr="006B4ED5" w:rsidRDefault="00930342" w:rsidP="007816FE">
            <w:pPr>
              <w:rPr>
                <w:sz w:val="20"/>
                <w:szCs w:val="20"/>
                <w:lang w:val="en-US"/>
              </w:rPr>
            </w:pPr>
            <w:r>
              <w:rPr>
                <w:sz w:val="20"/>
                <w:szCs w:val="20"/>
                <w:lang w:val="en-US"/>
              </w:rPr>
              <w:t>1</w:t>
            </w:r>
            <w:r w:rsidR="006F0585">
              <w:rPr>
                <w:sz w:val="20"/>
                <w:szCs w:val="20"/>
                <w:lang w:val="en-US"/>
              </w:rPr>
              <w:t>2.</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35096D5B" w14:textId="173F0F33" w:rsidR="0017605D" w:rsidRPr="007C6042" w:rsidRDefault="0017605D" w:rsidP="007816FE">
            <w:pPr>
              <w:rPr>
                <w:b/>
                <w:sz w:val="20"/>
                <w:szCs w:val="20"/>
                <w:lang w:val="en-US"/>
              </w:rPr>
            </w:pPr>
            <w:r w:rsidRPr="007C6042">
              <w:rPr>
                <w:b/>
                <w:sz w:val="20"/>
                <w:szCs w:val="20"/>
                <w:lang w:val="en-US"/>
              </w:rPr>
              <w:t>Revenues/Business Rates/Council Tax Support fraud</w:t>
            </w:r>
            <w:r w:rsidR="00C47B35">
              <w:rPr>
                <w:b/>
                <w:sz w:val="20"/>
                <w:szCs w:val="20"/>
                <w:lang w:val="en-US"/>
              </w:rPr>
              <w:t>/Grants</w:t>
            </w:r>
          </w:p>
          <w:p w14:paraId="45B51107" w14:textId="77777777" w:rsidR="0017605D" w:rsidRPr="007C6042" w:rsidRDefault="0017605D" w:rsidP="007816FE">
            <w:pPr>
              <w:rPr>
                <w:b/>
                <w:sz w:val="20"/>
                <w:szCs w:val="20"/>
                <w:lang w:val="en-US"/>
              </w:rPr>
            </w:pPr>
          </w:p>
          <w:p w14:paraId="4E5B12A2" w14:textId="77777777" w:rsidR="0017605D" w:rsidRPr="007C6042" w:rsidRDefault="0017605D" w:rsidP="00CA78FA">
            <w:pPr>
              <w:rPr>
                <w:sz w:val="20"/>
                <w:szCs w:val="20"/>
                <w:lang w:val="en-US"/>
              </w:rPr>
            </w:pPr>
            <w:r w:rsidRPr="007C6042">
              <w:rPr>
                <w:sz w:val="20"/>
                <w:szCs w:val="20"/>
                <w:lang w:val="en-US"/>
              </w:rPr>
              <w:t xml:space="preserve">Work in partnership with Revenues and Benefits to investigate allegations of fraud and abuse on a risk basis of the Council Tax, Council Tax Support and </w:t>
            </w:r>
            <w:proofErr w:type="gramStart"/>
            <w:r w:rsidRPr="007C6042">
              <w:rPr>
                <w:sz w:val="20"/>
                <w:szCs w:val="20"/>
                <w:lang w:val="en-US"/>
              </w:rPr>
              <w:t>Non Domestic</w:t>
            </w:r>
            <w:proofErr w:type="gramEnd"/>
            <w:r w:rsidRPr="007C6042">
              <w:rPr>
                <w:sz w:val="20"/>
                <w:szCs w:val="20"/>
                <w:lang w:val="en-US"/>
              </w:rPr>
              <w:t xml:space="preserve"> Rates Systems, including exemptions, discounts and reliefs, apply appropriate sanctions where fraud is proven and assist in the recovery of fraud related losses</w:t>
            </w:r>
          </w:p>
          <w:p w14:paraId="16E6A992" w14:textId="77777777" w:rsidR="0017605D" w:rsidRPr="007C6042" w:rsidRDefault="0017605D" w:rsidP="007816FE">
            <w:pPr>
              <w:rPr>
                <w:b/>
                <w:sz w:val="20"/>
                <w:szCs w:val="20"/>
                <w:lang w:val="en-US"/>
              </w:rPr>
            </w:pPr>
          </w:p>
        </w:tc>
        <w:tc>
          <w:tcPr>
            <w:tcW w:w="5953" w:type="dxa"/>
            <w:tcBorders>
              <w:top w:val="single" w:sz="4" w:space="0" w:color="auto"/>
              <w:left w:val="nil"/>
              <w:bottom w:val="single" w:sz="4" w:space="0" w:color="auto"/>
              <w:right w:val="single" w:sz="4" w:space="0" w:color="auto"/>
            </w:tcBorders>
            <w:shd w:val="clear" w:color="auto" w:fill="auto"/>
          </w:tcPr>
          <w:p w14:paraId="2A03FBEA" w14:textId="1FB6D791" w:rsidR="0017605D" w:rsidRPr="00313F20" w:rsidRDefault="00A51906" w:rsidP="00EF7582">
            <w:pPr>
              <w:rPr>
                <w:b/>
                <w:sz w:val="20"/>
                <w:szCs w:val="20"/>
                <w:lang w:val="en-US"/>
              </w:rPr>
            </w:pPr>
            <w:r w:rsidRPr="00313F20">
              <w:rPr>
                <w:b/>
                <w:sz w:val="20"/>
                <w:szCs w:val="20"/>
                <w:lang w:val="en-US"/>
              </w:rPr>
              <w:t xml:space="preserve">Objective </w:t>
            </w:r>
            <w:r w:rsidR="008F099F">
              <w:rPr>
                <w:b/>
                <w:sz w:val="20"/>
                <w:szCs w:val="20"/>
                <w:lang w:val="en-US"/>
              </w:rPr>
              <w:t>achieved</w:t>
            </w:r>
          </w:p>
          <w:p w14:paraId="75E40A7C" w14:textId="77777777" w:rsidR="0017605D" w:rsidRPr="00313F20" w:rsidRDefault="0017605D" w:rsidP="00EF7582">
            <w:pPr>
              <w:rPr>
                <w:sz w:val="20"/>
                <w:szCs w:val="20"/>
                <w:lang w:val="en-US"/>
              </w:rPr>
            </w:pPr>
          </w:p>
          <w:p w14:paraId="08E73CB4" w14:textId="58408D2A" w:rsidR="0017605D" w:rsidRDefault="003D7536" w:rsidP="005D7D25">
            <w:pPr>
              <w:rPr>
                <w:sz w:val="20"/>
                <w:szCs w:val="20"/>
                <w:lang w:val="en-US"/>
              </w:rPr>
            </w:pPr>
            <w:r w:rsidRPr="00313F20">
              <w:rPr>
                <w:sz w:val="20"/>
                <w:szCs w:val="20"/>
                <w:lang w:val="en-US"/>
              </w:rPr>
              <w:t>The team received</w:t>
            </w:r>
            <w:r w:rsidR="00F942E6" w:rsidRPr="00313F20">
              <w:rPr>
                <w:sz w:val="20"/>
                <w:szCs w:val="20"/>
                <w:lang w:val="en-US"/>
              </w:rPr>
              <w:t xml:space="preserve"> </w:t>
            </w:r>
            <w:r w:rsidR="00BC6A8F">
              <w:rPr>
                <w:sz w:val="20"/>
                <w:szCs w:val="20"/>
                <w:lang w:val="en-US"/>
              </w:rPr>
              <w:t>13</w:t>
            </w:r>
            <w:r w:rsidR="00347F8E">
              <w:rPr>
                <w:sz w:val="20"/>
                <w:szCs w:val="20"/>
                <w:lang w:val="en-US"/>
              </w:rPr>
              <w:t xml:space="preserve"> </w:t>
            </w:r>
            <w:r w:rsidR="0017605D" w:rsidRPr="00313F20">
              <w:rPr>
                <w:sz w:val="20"/>
                <w:szCs w:val="20"/>
                <w:lang w:val="en-US"/>
              </w:rPr>
              <w:t>referrals of Council Tax discount/exemption fraud, CTRS fraud and</w:t>
            </w:r>
            <w:r w:rsidRPr="00313F20">
              <w:rPr>
                <w:sz w:val="20"/>
                <w:szCs w:val="20"/>
                <w:lang w:val="en-US"/>
              </w:rPr>
              <w:t xml:space="preserve"> NNDR</w:t>
            </w:r>
            <w:r w:rsidR="007844CD" w:rsidRPr="00313F20">
              <w:rPr>
                <w:sz w:val="20"/>
                <w:szCs w:val="20"/>
                <w:lang w:val="en-US"/>
              </w:rPr>
              <w:t>/Covid-19 grant</w:t>
            </w:r>
            <w:r w:rsidRPr="00313F20">
              <w:rPr>
                <w:sz w:val="20"/>
                <w:szCs w:val="20"/>
                <w:lang w:val="en-US"/>
              </w:rPr>
              <w:t xml:space="preserve"> fraud.</w:t>
            </w:r>
            <w:r w:rsidR="00260DFE" w:rsidRPr="00313F20">
              <w:rPr>
                <w:sz w:val="20"/>
                <w:szCs w:val="20"/>
                <w:lang w:val="en-US"/>
              </w:rPr>
              <w:t xml:space="preserve">  </w:t>
            </w:r>
            <w:r w:rsidR="00405DDD">
              <w:rPr>
                <w:sz w:val="20"/>
                <w:szCs w:val="20"/>
                <w:lang w:val="en-US"/>
              </w:rPr>
              <w:t xml:space="preserve">Fraud recoverable overpayments </w:t>
            </w:r>
            <w:r w:rsidR="00347F8E">
              <w:rPr>
                <w:sz w:val="20"/>
                <w:szCs w:val="20"/>
                <w:lang w:val="en-US"/>
              </w:rPr>
              <w:t xml:space="preserve">achieved are as </w:t>
            </w:r>
            <w:proofErr w:type="gramStart"/>
            <w:r w:rsidR="00347F8E">
              <w:rPr>
                <w:sz w:val="20"/>
                <w:szCs w:val="20"/>
                <w:lang w:val="en-US"/>
              </w:rPr>
              <w:t>follows</w:t>
            </w:r>
            <w:r w:rsidR="00405DDD">
              <w:rPr>
                <w:sz w:val="20"/>
                <w:szCs w:val="20"/>
                <w:lang w:val="en-US"/>
              </w:rPr>
              <w:t>;-</w:t>
            </w:r>
            <w:proofErr w:type="gramEnd"/>
          </w:p>
          <w:p w14:paraId="14B8B7CC" w14:textId="3F745DDF" w:rsidR="00347F8E" w:rsidRDefault="00347F8E" w:rsidP="005D7D25">
            <w:pPr>
              <w:rPr>
                <w:sz w:val="20"/>
                <w:szCs w:val="20"/>
                <w:lang w:val="en-US"/>
              </w:rPr>
            </w:pPr>
          </w:p>
          <w:p w14:paraId="1554BB34" w14:textId="7E0CC72A" w:rsidR="00F21E74" w:rsidRPr="00DA47EF" w:rsidRDefault="00F21E74" w:rsidP="00F21E74">
            <w:pPr>
              <w:rPr>
                <w:sz w:val="20"/>
                <w:szCs w:val="20"/>
                <w:lang w:val="en-US"/>
              </w:rPr>
            </w:pPr>
            <w:r w:rsidRPr="00DA47EF">
              <w:rPr>
                <w:sz w:val="20"/>
                <w:szCs w:val="20"/>
                <w:lang w:val="en-US"/>
              </w:rPr>
              <w:t>Single Person Discount £</w:t>
            </w:r>
            <w:r w:rsidRPr="00DA47EF">
              <w:rPr>
                <w:color w:val="000000"/>
                <w:sz w:val="20"/>
                <w:szCs w:val="20"/>
              </w:rPr>
              <w:t>3</w:t>
            </w:r>
            <w:r w:rsidR="00DA47EF" w:rsidRPr="00DA47EF">
              <w:rPr>
                <w:color w:val="000000"/>
                <w:sz w:val="20"/>
                <w:szCs w:val="20"/>
              </w:rPr>
              <w:t>,</w:t>
            </w:r>
            <w:r w:rsidRPr="00DA47EF">
              <w:rPr>
                <w:color w:val="000000"/>
                <w:sz w:val="20"/>
                <w:szCs w:val="20"/>
              </w:rPr>
              <w:t>156.14</w:t>
            </w:r>
          </w:p>
          <w:p w14:paraId="49BDE6DB" w14:textId="70CBEC4A" w:rsidR="00DA47EF" w:rsidRPr="00DA47EF" w:rsidRDefault="00347F8E" w:rsidP="00DA47EF">
            <w:pPr>
              <w:rPr>
                <w:sz w:val="20"/>
                <w:szCs w:val="20"/>
                <w:lang w:val="en-US"/>
              </w:rPr>
            </w:pPr>
            <w:r w:rsidRPr="00DA47EF">
              <w:rPr>
                <w:sz w:val="20"/>
                <w:szCs w:val="20"/>
                <w:lang w:val="en-US"/>
              </w:rPr>
              <w:t>Council Tax Reduction Support £</w:t>
            </w:r>
            <w:r w:rsidR="00DA47EF" w:rsidRPr="00DA47EF">
              <w:rPr>
                <w:color w:val="000000"/>
                <w:sz w:val="20"/>
                <w:szCs w:val="20"/>
              </w:rPr>
              <w:t>18,336.27</w:t>
            </w:r>
          </w:p>
          <w:p w14:paraId="7F9BC1B5" w14:textId="03F39912" w:rsidR="00DA47EF" w:rsidRPr="00DA47EF" w:rsidRDefault="00347F8E" w:rsidP="00DA47EF">
            <w:pPr>
              <w:rPr>
                <w:color w:val="000000"/>
                <w:sz w:val="20"/>
                <w:szCs w:val="20"/>
              </w:rPr>
            </w:pPr>
            <w:r w:rsidRPr="00DA47EF">
              <w:rPr>
                <w:sz w:val="20"/>
                <w:szCs w:val="20"/>
                <w:lang w:val="en-US"/>
              </w:rPr>
              <w:t>Housing Benefit £</w:t>
            </w:r>
            <w:r w:rsidR="00DA47EF" w:rsidRPr="00DA47EF">
              <w:rPr>
                <w:color w:val="000000"/>
                <w:sz w:val="20"/>
                <w:szCs w:val="20"/>
              </w:rPr>
              <w:t>22,142.1</w:t>
            </w:r>
          </w:p>
          <w:p w14:paraId="334406B4" w14:textId="07753D3A" w:rsidR="00DA47EF" w:rsidRPr="00DA47EF" w:rsidRDefault="00DA47EF" w:rsidP="00DA47EF">
            <w:pPr>
              <w:rPr>
                <w:sz w:val="20"/>
                <w:szCs w:val="20"/>
                <w:lang w:val="en-US"/>
              </w:rPr>
            </w:pPr>
            <w:r w:rsidRPr="00DA47EF">
              <w:rPr>
                <w:color w:val="000000"/>
                <w:sz w:val="20"/>
                <w:szCs w:val="20"/>
              </w:rPr>
              <w:t>Covid grant £4,500</w:t>
            </w:r>
          </w:p>
          <w:p w14:paraId="038A3BCB" w14:textId="77777777" w:rsidR="00347F8E" w:rsidRDefault="00347F8E" w:rsidP="005D7D25">
            <w:pPr>
              <w:rPr>
                <w:sz w:val="20"/>
                <w:szCs w:val="20"/>
                <w:lang w:val="en-US"/>
              </w:rPr>
            </w:pPr>
          </w:p>
          <w:p w14:paraId="54386B6D" w14:textId="25485762" w:rsidR="00347F8E" w:rsidRDefault="00347F8E" w:rsidP="005D7D25">
            <w:pPr>
              <w:rPr>
                <w:sz w:val="20"/>
                <w:szCs w:val="20"/>
                <w:lang w:val="en-US"/>
              </w:rPr>
            </w:pPr>
            <w:r>
              <w:rPr>
                <w:sz w:val="20"/>
                <w:szCs w:val="20"/>
                <w:lang w:val="en-US"/>
              </w:rPr>
              <w:t xml:space="preserve">In </w:t>
            </w:r>
            <w:proofErr w:type="gramStart"/>
            <w:r>
              <w:rPr>
                <w:sz w:val="20"/>
                <w:szCs w:val="20"/>
                <w:lang w:val="en-US"/>
              </w:rPr>
              <w:t>all of</w:t>
            </w:r>
            <w:proofErr w:type="gramEnd"/>
            <w:r>
              <w:rPr>
                <w:sz w:val="20"/>
                <w:szCs w:val="20"/>
                <w:lang w:val="en-US"/>
              </w:rPr>
              <w:t xml:space="preserve"> these cases, the main focus of the investigation was housing tenancy fraud and subletting/non occupation and once fraud had been established</w:t>
            </w:r>
            <w:r w:rsidR="004869F5">
              <w:rPr>
                <w:sz w:val="20"/>
                <w:szCs w:val="20"/>
                <w:lang w:val="en-US"/>
              </w:rPr>
              <w:t>,</w:t>
            </w:r>
            <w:r>
              <w:rPr>
                <w:sz w:val="20"/>
                <w:szCs w:val="20"/>
                <w:lang w:val="en-US"/>
              </w:rPr>
              <w:t xml:space="preserve"> CAFT findings were shared across both Revenues and Housing Benefit for them to reassess entitlement</w:t>
            </w:r>
          </w:p>
          <w:p w14:paraId="67D41B26" w14:textId="77777777" w:rsidR="00347F8E" w:rsidRDefault="00347F8E" w:rsidP="005D7D25">
            <w:pPr>
              <w:rPr>
                <w:sz w:val="20"/>
                <w:szCs w:val="20"/>
                <w:lang w:val="en-US"/>
              </w:rPr>
            </w:pPr>
          </w:p>
          <w:p w14:paraId="5C913AEE" w14:textId="4234125E" w:rsidR="00457BE5" w:rsidRPr="00457BE5" w:rsidRDefault="00347F8E" w:rsidP="005D7D25">
            <w:pPr>
              <w:rPr>
                <w:b/>
                <w:bCs/>
                <w:sz w:val="20"/>
                <w:szCs w:val="20"/>
                <w:lang w:val="en-US"/>
              </w:rPr>
            </w:pPr>
            <w:r w:rsidRPr="00347F8E">
              <w:rPr>
                <w:b/>
                <w:bCs/>
                <w:sz w:val="20"/>
                <w:szCs w:val="20"/>
                <w:lang w:val="en-US"/>
              </w:rPr>
              <w:t xml:space="preserve">Overall </w:t>
            </w:r>
            <w:r w:rsidR="00352746">
              <w:rPr>
                <w:b/>
                <w:bCs/>
                <w:sz w:val="20"/>
                <w:szCs w:val="20"/>
                <w:lang w:val="en-US"/>
              </w:rPr>
              <w:t xml:space="preserve">recoverable </w:t>
            </w:r>
            <w:r w:rsidRPr="00347F8E">
              <w:rPr>
                <w:b/>
                <w:bCs/>
                <w:sz w:val="20"/>
                <w:szCs w:val="20"/>
                <w:lang w:val="en-US"/>
              </w:rPr>
              <w:t xml:space="preserve">fraud </w:t>
            </w:r>
            <w:r w:rsidR="00352746">
              <w:rPr>
                <w:b/>
                <w:bCs/>
                <w:sz w:val="20"/>
                <w:szCs w:val="20"/>
                <w:lang w:val="en-US"/>
              </w:rPr>
              <w:t>losses</w:t>
            </w:r>
            <w:r w:rsidRPr="00347F8E">
              <w:rPr>
                <w:b/>
                <w:bCs/>
                <w:sz w:val="20"/>
                <w:szCs w:val="20"/>
                <w:lang w:val="en-US"/>
              </w:rPr>
              <w:t xml:space="preserve"> attributed to this work </w:t>
            </w:r>
            <w:r w:rsidRPr="00457BE5">
              <w:rPr>
                <w:b/>
                <w:bCs/>
                <w:sz w:val="20"/>
                <w:szCs w:val="20"/>
                <w:lang w:val="en-US"/>
              </w:rPr>
              <w:t>stream is £</w:t>
            </w:r>
            <w:r w:rsidR="002C2AE0">
              <w:rPr>
                <w:b/>
                <w:bCs/>
                <w:sz w:val="20"/>
                <w:szCs w:val="20"/>
                <w:lang w:val="en-US"/>
              </w:rPr>
              <w:t>48,134.51</w:t>
            </w:r>
          </w:p>
          <w:p w14:paraId="48732604" w14:textId="3EB403C2" w:rsidR="00347F8E" w:rsidRPr="00347F8E" w:rsidRDefault="00347F8E" w:rsidP="002C2AE0">
            <w:pPr>
              <w:rPr>
                <w:b/>
                <w:bCs/>
                <w:color w:val="FF0000"/>
                <w:sz w:val="20"/>
                <w:szCs w:val="20"/>
              </w:rPr>
            </w:pPr>
          </w:p>
        </w:tc>
      </w:tr>
      <w:tr w:rsidR="0017605D" w:rsidRPr="006B4ED5" w14:paraId="0EFFD904" w14:textId="77777777" w:rsidTr="002F2EA6">
        <w:trPr>
          <w:trHeight w:val="4105"/>
        </w:trPr>
        <w:tc>
          <w:tcPr>
            <w:tcW w:w="576" w:type="dxa"/>
            <w:tcBorders>
              <w:top w:val="single" w:sz="4" w:space="0" w:color="auto"/>
              <w:left w:val="single" w:sz="4" w:space="0" w:color="auto"/>
              <w:bottom w:val="single" w:sz="4" w:space="0" w:color="auto"/>
              <w:right w:val="single" w:sz="4" w:space="0" w:color="auto"/>
            </w:tcBorders>
          </w:tcPr>
          <w:p w14:paraId="2D94EB25" w14:textId="77777777" w:rsidR="0017605D" w:rsidRDefault="00930342" w:rsidP="007816FE">
            <w:pPr>
              <w:rPr>
                <w:sz w:val="20"/>
                <w:szCs w:val="20"/>
                <w:lang w:val="en-US"/>
              </w:rPr>
            </w:pPr>
            <w:r>
              <w:rPr>
                <w:sz w:val="20"/>
                <w:szCs w:val="20"/>
                <w:lang w:val="en-US"/>
              </w:rPr>
              <w:lastRenderedPageBreak/>
              <w:t>1</w:t>
            </w:r>
            <w:r w:rsidR="00A32AB5">
              <w:rPr>
                <w:sz w:val="20"/>
                <w:szCs w:val="20"/>
                <w:lang w:val="en-US"/>
              </w:rPr>
              <w:t>3.</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0DAB1B" w14:textId="77777777" w:rsidR="0017605D" w:rsidRPr="005D4938" w:rsidRDefault="0017605D" w:rsidP="000A7318">
            <w:pPr>
              <w:rPr>
                <w:b/>
                <w:sz w:val="20"/>
                <w:szCs w:val="20"/>
                <w:lang w:val="en-US"/>
              </w:rPr>
            </w:pPr>
            <w:r w:rsidRPr="005D4938">
              <w:rPr>
                <w:b/>
                <w:sz w:val="20"/>
                <w:szCs w:val="20"/>
                <w:lang w:val="en-US"/>
              </w:rPr>
              <w:t xml:space="preserve">Social care fraud </w:t>
            </w:r>
          </w:p>
          <w:p w14:paraId="3869FB48" w14:textId="77777777" w:rsidR="0017605D" w:rsidRPr="005D4938" w:rsidRDefault="0017605D" w:rsidP="000A7318">
            <w:pPr>
              <w:rPr>
                <w:b/>
                <w:sz w:val="20"/>
                <w:szCs w:val="20"/>
                <w:lang w:val="en-US"/>
              </w:rPr>
            </w:pPr>
          </w:p>
          <w:p w14:paraId="41F2FA66" w14:textId="77777777" w:rsidR="007A1501" w:rsidRPr="005D4938" w:rsidRDefault="007A1501" w:rsidP="007A1501">
            <w:pPr>
              <w:pStyle w:val="Default"/>
              <w:rPr>
                <w:color w:val="auto"/>
                <w:sz w:val="20"/>
                <w:szCs w:val="20"/>
              </w:rPr>
            </w:pPr>
            <w:r w:rsidRPr="005D4938">
              <w:rPr>
                <w:color w:val="auto"/>
                <w:sz w:val="20"/>
                <w:szCs w:val="20"/>
              </w:rPr>
              <w:t xml:space="preserve">Work in partnership with the People Directorate to undertake a sample check allegations of fraud and abuse of the social care system including but not limited </w:t>
            </w:r>
            <w:proofErr w:type="gramStart"/>
            <w:r w:rsidRPr="005D4938">
              <w:rPr>
                <w:color w:val="auto"/>
                <w:sz w:val="20"/>
                <w:szCs w:val="20"/>
              </w:rPr>
              <w:t>to:-</w:t>
            </w:r>
            <w:proofErr w:type="gramEnd"/>
            <w:r w:rsidRPr="005D4938">
              <w:rPr>
                <w:color w:val="auto"/>
                <w:sz w:val="20"/>
                <w:szCs w:val="20"/>
              </w:rPr>
              <w:t xml:space="preserve"> </w:t>
            </w:r>
          </w:p>
          <w:p w14:paraId="4F958057" w14:textId="77777777" w:rsidR="007A1501" w:rsidRPr="005D4938" w:rsidRDefault="007A1501" w:rsidP="007A1501">
            <w:pPr>
              <w:pStyle w:val="Default"/>
              <w:rPr>
                <w:color w:val="auto"/>
                <w:sz w:val="20"/>
                <w:szCs w:val="20"/>
              </w:rPr>
            </w:pPr>
          </w:p>
          <w:p w14:paraId="44BE5F2F" w14:textId="2B3AA4F7" w:rsidR="007A1501" w:rsidRPr="005D4938" w:rsidRDefault="007A1501" w:rsidP="007A1501">
            <w:pPr>
              <w:pStyle w:val="Default"/>
              <w:numPr>
                <w:ilvl w:val="0"/>
                <w:numId w:val="6"/>
              </w:numPr>
              <w:rPr>
                <w:color w:val="auto"/>
                <w:sz w:val="20"/>
                <w:szCs w:val="20"/>
              </w:rPr>
            </w:pPr>
            <w:r w:rsidRPr="005D4938">
              <w:rPr>
                <w:color w:val="auto"/>
                <w:sz w:val="20"/>
                <w:szCs w:val="20"/>
              </w:rPr>
              <w:t xml:space="preserve">A proactive fraud risk- based exercise of personal budgets applications, assessment and monitoring of spend </w:t>
            </w:r>
          </w:p>
          <w:p w14:paraId="56565BD0" w14:textId="77777777" w:rsidR="007A1501" w:rsidRPr="005D4938" w:rsidRDefault="007A1501" w:rsidP="007A1501">
            <w:pPr>
              <w:pStyle w:val="Default"/>
              <w:rPr>
                <w:color w:val="auto"/>
                <w:sz w:val="20"/>
                <w:szCs w:val="20"/>
              </w:rPr>
            </w:pPr>
          </w:p>
          <w:p w14:paraId="67D17F61" w14:textId="05E7F225" w:rsidR="0017605D" w:rsidRPr="002F2EA6" w:rsidRDefault="007A1501" w:rsidP="002F2EA6">
            <w:pPr>
              <w:pStyle w:val="Default"/>
              <w:numPr>
                <w:ilvl w:val="0"/>
                <w:numId w:val="6"/>
              </w:numPr>
              <w:rPr>
                <w:color w:val="auto"/>
                <w:sz w:val="20"/>
                <w:szCs w:val="20"/>
              </w:rPr>
            </w:pPr>
            <w:r w:rsidRPr="005D4938">
              <w:rPr>
                <w:color w:val="auto"/>
                <w:sz w:val="20"/>
                <w:szCs w:val="20"/>
              </w:rPr>
              <w:t>A proactive fraud risk- based exercise in relation to those individuals being financially supported in long term residential care</w:t>
            </w:r>
          </w:p>
        </w:tc>
        <w:tc>
          <w:tcPr>
            <w:tcW w:w="5953" w:type="dxa"/>
            <w:tcBorders>
              <w:top w:val="single" w:sz="4" w:space="0" w:color="auto"/>
              <w:left w:val="nil"/>
              <w:bottom w:val="single" w:sz="4" w:space="0" w:color="auto"/>
              <w:right w:val="single" w:sz="4" w:space="0" w:color="auto"/>
            </w:tcBorders>
            <w:shd w:val="clear" w:color="auto" w:fill="auto"/>
          </w:tcPr>
          <w:p w14:paraId="3886BE06" w14:textId="70737BB3" w:rsidR="004864AC" w:rsidRDefault="002F2EA6" w:rsidP="005D4938">
            <w:pPr>
              <w:pStyle w:val="CommentText"/>
              <w:rPr>
                <w:b/>
                <w:lang w:val="en-US"/>
              </w:rPr>
            </w:pPr>
            <w:r>
              <w:rPr>
                <w:b/>
                <w:lang w:val="en-US"/>
              </w:rPr>
              <w:t xml:space="preserve">Objective not </w:t>
            </w:r>
            <w:r w:rsidR="00DF340F">
              <w:rPr>
                <w:b/>
                <w:lang w:val="en-US"/>
              </w:rPr>
              <w:t>undertaken</w:t>
            </w:r>
          </w:p>
          <w:p w14:paraId="7BC26C0E" w14:textId="77777777" w:rsidR="00CB48D1" w:rsidRDefault="00CB48D1" w:rsidP="005D4938">
            <w:pPr>
              <w:pStyle w:val="CommentText"/>
              <w:rPr>
                <w:b/>
                <w:lang w:val="en-US"/>
              </w:rPr>
            </w:pPr>
          </w:p>
          <w:p w14:paraId="67DFC7C6" w14:textId="36F4C1D8" w:rsidR="00AD6C1E" w:rsidRPr="00DF340F" w:rsidRDefault="00FF522F" w:rsidP="005D4938">
            <w:pPr>
              <w:pStyle w:val="CommentText"/>
              <w:rPr>
                <w:bCs/>
                <w:lang w:val="en-US"/>
              </w:rPr>
            </w:pPr>
            <w:r w:rsidRPr="00DF340F">
              <w:rPr>
                <w:bCs/>
                <w:lang w:val="en-US"/>
              </w:rPr>
              <w:t xml:space="preserve">A combination of </w:t>
            </w:r>
            <w:r w:rsidR="00A37FCE" w:rsidRPr="00DF340F">
              <w:rPr>
                <w:bCs/>
                <w:lang w:val="en-US"/>
              </w:rPr>
              <w:t xml:space="preserve">a lack of capacity and </w:t>
            </w:r>
            <w:r w:rsidR="00424A1B" w:rsidRPr="00DF340F">
              <w:rPr>
                <w:bCs/>
                <w:lang w:val="en-US"/>
              </w:rPr>
              <w:t>c</w:t>
            </w:r>
            <w:r w:rsidR="00A37FCE" w:rsidRPr="00DF340F">
              <w:rPr>
                <w:bCs/>
                <w:lang w:val="en-US"/>
              </w:rPr>
              <w:t>hanges to social care legislation</w:t>
            </w:r>
            <w:r w:rsidR="00424A1B" w:rsidRPr="00DF340F">
              <w:rPr>
                <w:bCs/>
                <w:lang w:val="en-US"/>
              </w:rPr>
              <w:t xml:space="preserve"> </w:t>
            </w:r>
            <w:r w:rsidR="00DF340F" w:rsidRPr="00DF340F">
              <w:rPr>
                <w:bCs/>
                <w:lang w:val="en-US"/>
              </w:rPr>
              <w:t xml:space="preserve">impacting the </w:t>
            </w:r>
            <w:r w:rsidR="00ED6E53">
              <w:rPr>
                <w:bCs/>
                <w:lang w:val="en-US"/>
              </w:rPr>
              <w:t xml:space="preserve">amount of </w:t>
            </w:r>
            <w:r w:rsidR="00DF340F" w:rsidRPr="00DF340F">
              <w:rPr>
                <w:bCs/>
                <w:lang w:val="en-US"/>
              </w:rPr>
              <w:t>support that adult services could provide to the CAFT</w:t>
            </w:r>
            <w:r w:rsidR="00ED6E53">
              <w:rPr>
                <w:bCs/>
                <w:lang w:val="en-US"/>
              </w:rPr>
              <w:t xml:space="preserve"> to complete this project</w:t>
            </w:r>
            <w:r w:rsidR="00DF340F" w:rsidRPr="00DF340F">
              <w:rPr>
                <w:bCs/>
                <w:lang w:val="en-US"/>
              </w:rPr>
              <w:t>, a decision was made not to commence this work</w:t>
            </w:r>
            <w:r w:rsidR="00ED6E53">
              <w:rPr>
                <w:bCs/>
                <w:lang w:val="en-US"/>
              </w:rPr>
              <w:t xml:space="preserve"> and to roll it over to 2022/23 </w:t>
            </w:r>
            <w:r w:rsidR="00DF340F" w:rsidRPr="00DF340F">
              <w:rPr>
                <w:bCs/>
                <w:lang w:val="en-US"/>
              </w:rPr>
              <w:t xml:space="preserve"> </w:t>
            </w:r>
          </w:p>
        </w:tc>
      </w:tr>
      <w:tr w:rsidR="00956C7A" w:rsidRPr="005F0B23" w14:paraId="0462A291" w14:textId="77777777" w:rsidTr="002D554F">
        <w:trPr>
          <w:trHeight w:val="251"/>
        </w:trPr>
        <w:tc>
          <w:tcPr>
            <w:tcW w:w="576" w:type="dxa"/>
            <w:tcBorders>
              <w:top w:val="single" w:sz="4" w:space="0" w:color="auto"/>
              <w:left w:val="single" w:sz="4" w:space="0" w:color="auto"/>
              <w:bottom w:val="single" w:sz="4" w:space="0" w:color="auto"/>
              <w:right w:val="single" w:sz="4" w:space="0" w:color="auto"/>
            </w:tcBorders>
          </w:tcPr>
          <w:p w14:paraId="66087894" w14:textId="31339187" w:rsidR="00956C7A" w:rsidRDefault="00956C7A" w:rsidP="007816FE">
            <w:pPr>
              <w:rPr>
                <w:sz w:val="20"/>
                <w:szCs w:val="20"/>
              </w:rPr>
            </w:pPr>
            <w:r>
              <w:rPr>
                <w:sz w:val="20"/>
                <w:szCs w:val="20"/>
              </w:rPr>
              <w:t>14</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18234953" w14:textId="77777777" w:rsidR="00956C7A" w:rsidRPr="00CB48D1" w:rsidRDefault="00956C7A" w:rsidP="00956C7A">
            <w:pPr>
              <w:pStyle w:val="Default"/>
              <w:rPr>
                <w:b/>
                <w:bCs/>
                <w:color w:val="auto"/>
                <w:sz w:val="20"/>
                <w:szCs w:val="20"/>
              </w:rPr>
            </w:pPr>
            <w:r w:rsidRPr="00CB48D1">
              <w:rPr>
                <w:b/>
                <w:bCs/>
                <w:color w:val="auto"/>
                <w:sz w:val="20"/>
                <w:szCs w:val="20"/>
              </w:rPr>
              <w:t xml:space="preserve">Partnership working </w:t>
            </w:r>
          </w:p>
          <w:p w14:paraId="1A54E8A3" w14:textId="77777777" w:rsidR="00956C7A" w:rsidRPr="00CB48D1" w:rsidRDefault="00956C7A" w:rsidP="00E32DBC">
            <w:pPr>
              <w:rPr>
                <w:b/>
                <w:sz w:val="20"/>
                <w:szCs w:val="20"/>
                <w:lang w:val="en-US"/>
              </w:rPr>
            </w:pPr>
          </w:p>
          <w:p w14:paraId="6F5E4242" w14:textId="77777777" w:rsidR="004271D9" w:rsidRPr="00CB48D1" w:rsidRDefault="004271D9" w:rsidP="004271D9">
            <w:pPr>
              <w:pStyle w:val="Default"/>
              <w:rPr>
                <w:color w:val="auto"/>
                <w:sz w:val="20"/>
                <w:szCs w:val="20"/>
              </w:rPr>
            </w:pPr>
            <w:r w:rsidRPr="00CB48D1">
              <w:rPr>
                <w:color w:val="auto"/>
                <w:sz w:val="20"/>
                <w:szCs w:val="20"/>
              </w:rPr>
              <w:t xml:space="preserve">Responding to requests for information in a timely manner from our law enforcement partners </w:t>
            </w:r>
            <w:proofErr w:type="spellStart"/>
            <w:r w:rsidRPr="00CB48D1">
              <w:rPr>
                <w:color w:val="auto"/>
                <w:sz w:val="20"/>
                <w:szCs w:val="20"/>
              </w:rPr>
              <w:t>e.g</w:t>
            </w:r>
            <w:proofErr w:type="spellEnd"/>
            <w:r w:rsidRPr="00CB48D1">
              <w:rPr>
                <w:color w:val="auto"/>
                <w:sz w:val="20"/>
                <w:szCs w:val="20"/>
              </w:rPr>
              <w:t xml:space="preserve"> Police, HMRC, Other LA’s etc </w:t>
            </w:r>
          </w:p>
          <w:p w14:paraId="6E06C49E" w14:textId="69AC841B" w:rsidR="004271D9" w:rsidRPr="0034198E" w:rsidRDefault="004271D9" w:rsidP="00E32DBC">
            <w:pPr>
              <w:rPr>
                <w:b/>
                <w:color w:val="FF0000"/>
                <w:sz w:val="20"/>
                <w:szCs w:val="20"/>
                <w:lang w:val="en-US"/>
              </w:rPr>
            </w:pPr>
          </w:p>
        </w:tc>
        <w:tc>
          <w:tcPr>
            <w:tcW w:w="5953" w:type="dxa"/>
            <w:tcBorders>
              <w:top w:val="single" w:sz="4" w:space="0" w:color="auto"/>
              <w:left w:val="nil"/>
              <w:bottom w:val="single" w:sz="4" w:space="0" w:color="auto"/>
              <w:right w:val="single" w:sz="4" w:space="0" w:color="auto"/>
            </w:tcBorders>
            <w:shd w:val="clear" w:color="auto" w:fill="auto"/>
          </w:tcPr>
          <w:p w14:paraId="43D7CD6B" w14:textId="5BBACE6F" w:rsidR="00956C7A" w:rsidRPr="006534DF" w:rsidRDefault="006534DF" w:rsidP="0076288E">
            <w:pPr>
              <w:rPr>
                <w:b/>
                <w:sz w:val="20"/>
                <w:szCs w:val="20"/>
              </w:rPr>
            </w:pPr>
            <w:r w:rsidRPr="006534DF">
              <w:rPr>
                <w:b/>
                <w:sz w:val="20"/>
                <w:szCs w:val="20"/>
              </w:rPr>
              <w:t>Objective achieved</w:t>
            </w:r>
          </w:p>
          <w:p w14:paraId="498D94AF" w14:textId="77777777" w:rsidR="006534DF" w:rsidRDefault="006534DF" w:rsidP="0076288E">
            <w:pPr>
              <w:rPr>
                <w:b/>
                <w:color w:val="FF0000"/>
                <w:sz w:val="20"/>
                <w:szCs w:val="20"/>
              </w:rPr>
            </w:pPr>
          </w:p>
          <w:p w14:paraId="0789DA06" w14:textId="77777777" w:rsidR="00B84266" w:rsidRDefault="006534DF" w:rsidP="0076288E">
            <w:pPr>
              <w:rPr>
                <w:bCs/>
                <w:sz w:val="20"/>
                <w:szCs w:val="20"/>
              </w:rPr>
            </w:pPr>
            <w:r w:rsidRPr="006534DF">
              <w:rPr>
                <w:bCs/>
                <w:sz w:val="20"/>
                <w:szCs w:val="20"/>
              </w:rPr>
              <w:t>All requests for information from our enfor</w:t>
            </w:r>
            <w:r>
              <w:rPr>
                <w:bCs/>
                <w:sz w:val="20"/>
                <w:szCs w:val="20"/>
              </w:rPr>
              <w:t>ce</w:t>
            </w:r>
            <w:r w:rsidRPr="006534DF">
              <w:rPr>
                <w:bCs/>
                <w:sz w:val="20"/>
                <w:szCs w:val="20"/>
              </w:rPr>
              <w:t>ment p</w:t>
            </w:r>
            <w:r>
              <w:rPr>
                <w:bCs/>
                <w:sz w:val="20"/>
                <w:szCs w:val="20"/>
              </w:rPr>
              <w:t>a</w:t>
            </w:r>
            <w:r w:rsidRPr="006534DF">
              <w:rPr>
                <w:bCs/>
                <w:sz w:val="20"/>
                <w:szCs w:val="20"/>
              </w:rPr>
              <w:t>rtners were processed in a timely manner or handed off to other dep</w:t>
            </w:r>
            <w:r>
              <w:rPr>
                <w:bCs/>
                <w:sz w:val="20"/>
                <w:szCs w:val="20"/>
              </w:rPr>
              <w:t>ar</w:t>
            </w:r>
            <w:r w:rsidRPr="006534DF">
              <w:rPr>
                <w:bCs/>
                <w:sz w:val="20"/>
                <w:szCs w:val="20"/>
              </w:rPr>
              <w:t>tments</w:t>
            </w:r>
            <w:r>
              <w:rPr>
                <w:bCs/>
                <w:sz w:val="20"/>
                <w:szCs w:val="20"/>
              </w:rPr>
              <w:t xml:space="preserve"> </w:t>
            </w:r>
            <w:r w:rsidR="00B84266">
              <w:rPr>
                <w:bCs/>
                <w:sz w:val="20"/>
                <w:szCs w:val="20"/>
              </w:rPr>
              <w:t xml:space="preserve">depending on the nature of the request.  </w:t>
            </w:r>
            <w:proofErr w:type="spellStart"/>
            <w:r w:rsidR="00B84266">
              <w:rPr>
                <w:bCs/>
                <w:sz w:val="20"/>
                <w:szCs w:val="20"/>
              </w:rPr>
              <w:t>Ie</w:t>
            </w:r>
            <w:proofErr w:type="spellEnd"/>
            <w:r w:rsidR="00B84266">
              <w:rPr>
                <w:bCs/>
                <w:sz w:val="20"/>
                <w:szCs w:val="20"/>
              </w:rPr>
              <w:t xml:space="preserve"> planning enforcement enquiry passed to planning enforcement colleagues</w:t>
            </w:r>
          </w:p>
          <w:p w14:paraId="14B1CF19" w14:textId="24A275B1" w:rsidR="006534DF" w:rsidRPr="006534DF" w:rsidRDefault="00B84266" w:rsidP="0076288E">
            <w:pPr>
              <w:rPr>
                <w:bCs/>
                <w:color w:val="FF0000"/>
                <w:sz w:val="20"/>
                <w:szCs w:val="20"/>
              </w:rPr>
            </w:pPr>
            <w:r>
              <w:rPr>
                <w:bCs/>
                <w:sz w:val="20"/>
                <w:szCs w:val="20"/>
              </w:rPr>
              <w:t>.</w:t>
            </w:r>
            <w:r w:rsidR="006534DF" w:rsidRPr="006534DF">
              <w:rPr>
                <w:bCs/>
                <w:sz w:val="20"/>
                <w:szCs w:val="20"/>
              </w:rPr>
              <w:t xml:space="preserve">  </w:t>
            </w:r>
          </w:p>
        </w:tc>
      </w:tr>
      <w:tr w:rsidR="0017605D" w:rsidRPr="005F0B23" w14:paraId="3FC5C397" w14:textId="77777777" w:rsidTr="002D554F">
        <w:trPr>
          <w:trHeight w:val="251"/>
        </w:trPr>
        <w:tc>
          <w:tcPr>
            <w:tcW w:w="576" w:type="dxa"/>
            <w:tcBorders>
              <w:top w:val="single" w:sz="4" w:space="0" w:color="auto"/>
              <w:left w:val="single" w:sz="4" w:space="0" w:color="auto"/>
              <w:bottom w:val="single" w:sz="4" w:space="0" w:color="auto"/>
              <w:right w:val="single" w:sz="4" w:space="0" w:color="auto"/>
            </w:tcBorders>
          </w:tcPr>
          <w:p w14:paraId="08351904" w14:textId="167824FC" w:rsidR="0017605D" w:rsidRDefault="00930342" w:rsidP="007816FE">
            <w:pPr>
              <w:rPr>
                <w:sz w:val="20"/>
                <w:szCs w:val="20"/>
              </w:rPr>
            </w:pPr>
            <w:r>
              <w:rPr>
                <w:sz w:val="20"/>
                <w:szCs w:val="20"/>
              </w:rPr>
              <w:t>1</w:t>
            </w:r>
            <w:r w:rsidR="004271D9">
              <w:rPr>
                <w:sz w:val="20"/>
                <w:szCs w:val="20"/>
              </w:rPr>
              <w:t>5</w:t>
            </w:r>
            <w:r w:rsidR="00A32AB5">
              <w:rPr>
                <w:sz w:val="20"/>
                <w:szCs w:val="20"/>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780D6885" w14:textId="77777777" w:rsidR="0017605D" w:rsidRPr="007C6042" w:rsidRDefault="0017605D" w:rsidP="00E32DBC">
            <w:pPr>
              <w:rPr>
                <w:b/>
                <w:sz w:val="20"/>
                <w:szCs w:val="20"/>
                <w:lang w:val="en-US"/>
              </w:rPr>
            </w:pPr>
            <w:r w:rsidRPr="007C6042">
              <w:rPr>
                <w:b/>
                <w:sz w:val="20"/>
                <w:szCs w:val="20"/>
                <w:lang w:val="en-US"/>
              </w:rPr>
              <w:t xml:space="preserve">Risk </w:t>
            </w:r>
            <w:proofErr w:type="gramStart"/>
            <w:r w:rsidRPr="007C6042">
              <w:rPr>
                <w:b/>
                <w:sz w:val="20"/>
                <w:szCs w:val="20"/>
                <w:lang w:val="en-US"/>
              </w:rPr>
              <w:t>assess</w:t>
            </w:r>
            <w:proofErr w:type="gramEnd"/>
            <w:r w:rsidRPr="007C6042">
              <w:rPr>
                <w:b/>
                <w:sz w:val="20"/>
                <w:szCs w:val="20"/>
                <w:lang w:val="en-US"/>
              </w:rPr>
              <w:t xml:space="preserve"> allegations of fraud and corruption</w:t>
            </w:r>
          </w:p>
          <w:p w14:paraId="356FADC1" w14:textId="77777777" w:rsidR="0017605D" w:rsidRPr="007C6042" w:rsidRDefault="0017605D" w:rsidP="00E32DBC">
            <w:pPr>
              <w:rPr>
                <w:sz w:val="20"/>
                <w:szCs w:val="20"/>
                <w:lang w:val="en-US"/>
              </w:rPr>
            </w:pPr>
          </w:p>
          <w:p w14:paraId="65967BC2" w14:textId="77777777" w:rsidR="00E661AD" w:rsidRDefault="00E661AD" w:rsidP="00E661AD">
            <w:pPr>
              <w:pStyle w:val="Default"/>
              <w:rPr>
                <w:sz w:val="20"/>
                <w:szCs w:val="20"/>
              </w:rPr>
            </w:pPr>
            <w:r>
              <w:rPr>
                <w:sz w:val="20"/>
                <w:szCs w:val="20"/>
              </w:rPr>
              <w:t xml:space="preserve">Risk </w:t>
            </w:r>
            <w:proofErr w:type="gramStart"/>
            <w:r>
              <w:rPr>
                <w:sz w:val="20"/>
                <w:szCs w:val="20"/>
              </w:rPr>
              <w:t>assess</w:t>
            </w:r>
            <w:proofErr w:type="gramEnd"/>
            <w:r>
              <w:rPr>
                <w:sz w:val="20"/>
                <w:szCs w:val="20"/>
              </w:rPr>
              <w:t xml:space="preserve"> 85% of allegations of fraud and corruption and deploy resources on those cases deemed sufficiently high enough fraud risk within an average of 10 working days of receipt of the information (KPI4) </w:t>
            </w:r>
          </w:p>
          <w:p w14:paraId="245D66D6" w14:textId="77777777" w:rsidR="0017605D" w:rsidRPr="007C6042" w:rsidRDefault="0017605D" w:rsidP="00E32DBC">
            <w:pPr>
              <w:rPr>
                <w:sz w:val="20"/>
                <w:szCs w:val="20"/>
              </w:rPr>
            </w:pPr>
          </w:p>
        </w:tc>
        <w:tc>
          <w:tcPr>
            <w:tcW w:w="5953" w:type="dxa"/>
            <w:tcBorders>
              <w:top w:val="single" w:sz="4" w:space="0" w:color="auto"/>
              <w:left w:val="nil"/>
              <w:bottom w:val="single" w:sz="4" w:space="0" w:color="auto"/>
              <w:right w:val="single" w:sz="4" w:space="0" w:color="auto"/>
            </w:tcBorders>
            <w:shd w:val="clear" w:color="auto" w:fill="auto"/>
          </w:tcPr>
          <w:p w14:paraId="2E3EE042" w14:textId="3ED2D8FA" w:rsidR="0017605D" w:rsidRPr="00927175" w:rsidRDefault="00B6469F" w:rsidP="0076288E">
            <w:pPr>
              <w:rPr>
                <w:b/>
                <w:sz w:val="20"/>
                <w:szCs w:val="20"/>
              </w:rPr>
            </w:pPr>
            <w:r w:rsidRPr="00927175">
              <w:rPr>
                <w:b/>
                <w:sz w:val="20"/>
                <w:szCs w:val="20"/>
              </w:rPr>
              <w:t xml:space="preserve">Objective </w:t>
            </w:r>
            <w:r w:rsidR="00036A52">
              <w:rPr>
                <w:b/>
                <w:sz w:val="20"/>
                <w:szCs w:val="20"/>
              </w:rPr>
              <w:t>achieved</w:t>
            </w:r>
          </w:p>
          <w:p w14:paraId="3D2E0683" w14:textId="77777777" w:rsidR="0017605D" w:rsidRPr="00927175" w:rsidRDefault="0017605D" w:rsidP="0076288E">
            <w:pPr>
              <w:rPr>
                <w:sz w:val="20"/>
                <w:szCs w:val="20"/>
              </w:rPr>
            </w:pPr>
          </w:p>
          <w:p w14:paraId="29BCB4D2" w14:textId="078499CF" w:rsidR="003D2C88" w:rsidRDefault="00115430" w:rsidP="00DB396D">
            <w:pPr>
              <w:rPr>
                <w:sz w:val="20"/>
                <w:szCs w:val="20"/>
              </w:rPr>
            </w:pPr>
            <w:r w:rsidRPr="00927175">
              <w:rPr>
                <w:sz w:val="20"/>
                <w:szCs w:val="20"/>
              </w:rPr>
              <w:t xml:space="preserve">Of the </w:t>
            </w:r>
            <w:r w:rsidR="000A6702">
              <w:rPr>
                <w:sz w:val="20"/>
                <w:szCs w:val="20"/>
              </w:rPr>
              <w:t>94</w:t>
            </w:r>
            <w:r w:rsidR="003514D6">
              <w:rPr>
                <w:sz w:val="20"/>
                <w:szCs w:val="20"/>
              </w:rPr>
              <w:t xml:space="preserve"> </w:t>
            </w:r>
            <w:r w:rsidR="0017605D" w:rsidRPr="00927175">
              <w:rPr>
                <w:sz w:val="20"/>
                <w:szCs w:val="20"/>
              </w:rPr>
              <w:t>referra</w:t>
            </w:r>
            <w:r w:rsidRPr="00927175">
              <w:rPr>
                <w:sz w:val="20"/>
                <w:szCs w:val="20"/>
              </w:rPr>
              <w:t xml:space="preserve">ls received during the year, </w:t>
            </w:r>
            <w:r w:rsidR="000A6702">
              <w:rPr>
                <w:sz w:val="20"/>
                <w:szCs w:val="20"/>
              </w:rPr>
              <w:t>all</w:t>
            </w:r>
            <w:r w:rsidR="0034198E">
              <w:rPr>
                <w:sz w:val="20"/>
                <w:szCs w:val="20"/>
              </w:rPr>
              <w:t xml:space="preserve"> 94 (100%) </w:t>
            </w:r>
            <w:r w:rsidR="0017605D" w:rsidRPr="00927175">
              <w:rPr>
                <w:sz w:val="20"/>
                <w:szCs w:val="20"/>
              </w:rPr>
              <w:t>were risk assessed and resources deployed to those cases accepted for invest</w:t>
            </w:r>
            <w:r w:rsidR="003D2C88" w:rsidRPr="00927175">
              <w:rPr>
                <w:sz w:val="20"/>
                <w:szCs w:val="20"/>
              </w:rPr>
              <w:t>igation within 10 working days.</w:t>
            </w:r>
          </w:p>
          <w:p w14:paraId="717DBED2" w14:textId="000E7069" w:rsidR="00695FDC" w:rsidRDefault="00695FDC" w:rsidP="00DB396D">
            <w:pPr>
              <w:rPr>
                <w:sz w:val="20"/>
                <w:szCs w:val="20"/>
              </w:rPr>
            </w:pPr>
          </w:p>
          <w:p w14:paraId="47719EFA" w14:textId="77777777" w:rsidR="003D2C88" w:rsidRPr="00927175" w:rsidRDefault="003D2C88" w:rsidP="00DB396D">
            <w:pPr>
              <w:rPr>
                <w:b/>
                <w:sz w:val="20"/>
                <w:szCs w:val="20"/>
              </w:rPr>
            </w:pPr>
          </w:p>
          <w:p w14:paraId="6CECA99F" w14:textId="189D6811" w:rsidR="0017605D" w:rsidRPr="00927175" w:rsidRDefault="003D2C88" w:rsidP="00DB396D">
            <w:pPr>
              <w:rPr>
                <w:b/>
                <w:sz w:val="20"/>
                <w:szCs w:val="20"/>
              </w:rPr>
            </w:pPr>
            <w:r w:rsidRPr="00927175">
              <w:rPr>
                <w:b/>
                <w:sz w:val="20"/>
                <w:szCs w:val="20"/>
              </w:rPr>
              <w:t xml:space="preserve">KPI4 target </w:t>
            </w:r>
            <w:r w:rsidR="000A6702">
              <w:rPr>
                <w:b/>
                <w:sz w:val="20"/>
                <w:szCs w:val="20"/>
              </w:rPr>
              <w:t>85</w:t>
            </w:r>
            <w:r w:rsidRPr="00927175">
              <w:rPr>
                <w:b/>
                <w:sz w:val="20"/>
                <w:szCs w:val="20"/>
              </w:rPr>
              <w:t>%, achiev</w:t>
            </w:r>
            <w:r w:rsidR="003514D6">
              <w:rPr>
                <w:b/>
                <w:sz w:val="20"/>
                <w:szCs w:val="20"/>
              </w:rPr>
              <w:t>ed</w:t>
            </w:r>
            <w:r w:rsidR="00B6469F" w:rsidRPr="00927175">
              <w:rPr>
                <w:b/>
                <w:sz w:val="20"/>
                <w:szCs w:val="20"/>
              </w:rPr>
              <w:t xml:space="preserve"> </w:t>
            </w:r>
            <w:r w:rsidR="000A6702">
              <w:rPr>
                <w:b/>
                <w:sz w:val="20"/>
                <w:szCs w:val="20"/>
              </w:rPr>
              <w:t>100</w:t>
            </w:r>
            <w:r w:rsidR="00115430" w:rsidRPr="00927175">
              <w:rPr>
                <w:b/>
                <w:sz w:val="20"/>
                <w:szCs w:val="20"/>
              </w:rPr>
              <w:t>%</w:t>
            </w:r>
          </w:p>
          <w:p w14:paraId="4E341992" w14:textId="77777777" w:rsidR="0017605D" w:rsidRPr="007C6042" w:rsidRDefault="0017605D" w:rsidP="00DB396D">
            <w:pPr>
              <w:rPr>
                <w:sz w:val="20"/>
                <w:szCs w:val="20"/>
              </w:rPr>
            </w:pPr>
            <w:r w:rsidRPr="007C6042">
              <w:rPr>
                <w:sz w:val="20"/>
                <w:szCs w:val="20"/>
              </w:rPr>
              <w:t xml:space="preserve">   </w:t>
            </w:r>
          </w:p>
        </w:tc>
      </w:tr>
    </w:tbl>
    <w:p w14:paraId="20ED519F" w14:textId="77777777" w:rsidR="0069329D" w:rsidRDefault="0069329D" w:rsidP="00F0044D">
      <w:pPr>
        <w:rPr>
          <w:b/>
          <w:sz w:val="20"/>
          <w:szCs w:val="20"/>
        </w:rPr>
      </w:pPr>
    </w:p>
    <w:p w14:paraId="4B610B77" w14:textId="2C850576" w:rsidR="004D01A2" w:rsidRPr="00646321" w:rsidRDefault="00FC6ABE" w:rsidP="002C54A1">
      <w:pPr>
        <w:rPr>
          <w:b/>
          <w:sz w:val="20"/>
          <w:szCs w:val="20"/>
        </w:rPr>
      </w:pPr>
      <w:r>
        <w:rPr>
          <w:b/>
        </w:rPr>
        <w:br w:type="page"/>
      </w:r>
    </w:p>
    <w:p w14:paraId="6501B1BD" w14:textId="77777777" w:rsidR="00007A7D" w:rsidRDefault="005F7FEC" w:rsidP="00007A7D">
      <w:pPr>
        <w:shd w:val="clear" w:color="auto" w:fill="17365D"/>
        <w:ind w:left="-142"/>
        <w:jc w:val="center"/>
        <w:rPr>
          <w:rFonts w:eastAsia="Calibri"/>
          <w:b/>
          <w:sz w:val="40"/>
          <w:szCs w:val="40"/>
          <w:shd w:val="clear" w:color="auto" w:fill="17365D"/>
        </w:rPr>
      </w:pPr>
      <w:r w:rsidRPr="005F7FEC">
        <w:rPr>
          <w:rFonts w:eastAsia="Calibri"/>
          <w:b/>
          <w:sz w:val="40"/>
          <w:szCs w:val="40"/>
          <w:shd w:val="clear" w:color="auto" w:fill="17365D"/>
        </w:rPr>
        <w:lastRenderedPageBreak/>
        <w:t xml:space="preserve">Performance of </w:t>
      </w:r>
      <w:r w:rsidR="00D93810">
        <w:rPr>
          <w:rFonts w:eastAsia="Calibri"/>
          <w:b/>
          <w:sz w:val="40"/>
          <w:szCs w:val="40"/>
          <w:shd w:val="clear" w:color="auto" w:fill="17365D"/>
        </w:rPr>
        <w:t>Corporate Anti-Fraud Team</w:t>
      </w:r>
      <w:r w:rsidR="00007A7D">
        <w:rPr>
          <w:rFonts w:eastAsia="Calibri"/>
          <w:b/>
          <w:sz w:val="40"/>
          <w:szCs w:val="40"/>
          <w:shd w:val="clear" w:color="auto" w:fill="17365D"/>
        </w:rPr>
        <w:t xml:space="preserve"> </w:t>
      </w:r>
    </w:p>
    <w:p w14:paraId="0D0C93E1" w14:textId="3EA0D2F1" w:rsidR="005F7FEC" w:rsidRPr="00007A7D" w:rsidRDefault="00034572" w:rsidP="00007A7D">
      <w:pPr>
        <w:shd w:val="clear" w:color="auto" w:fill="17365D"/>
        <w:ind w:left="-142"/>
        <w:jc w:val="center"/>
        <w:rPr>
          <w:rFonts w:eastAsia="Calibri"/>
          <w:b/>
          <w:sz w:val="40"/>
          <w:szCs w:val="40"/>
          <w:shd w:val="clear" w:color="auto" w:fill="FFFFFF"/>
        </w:rPr>
      </w:pPr>
      <w:r>
        <w:rPr>
          <w:rFonts w:eastAsia="Calibri"/>
          <w:b/>
          <w:sz w:val="40"/>
          <w:szCs w:val="40"/>
          <w:shd w:val="clear" w:color="auto" w:fill="17365D"/>
        </w:rPr>
        <w:t>Year End 2021-22</w:t>
      </w:r>
    </w:p>
    <w:p w14:paraId="3691C7A6" w14:textId="77777777" w:rsidR="000F7209" w:rsidRDefault="000F7209" w:rsidP="005F7FEC">
      <w:pPr>
        <w:shd w:val="clear" w:color="auto" w:fill="FFFFFF"/>
        <w:rPr>
          <w:b/>
        </w:rPr>
      </w:pPr>
    </w:p>
    <w:p w14:paraId="11A50BE4" w14:textId="77777777" w:rsidR="005F7FEC" w:rsidRPr="005F7FEC" w:rsidRDefault="005F7FEC" w:rsidP="005F7FEC">
      <w:pPr>
        <w:shd w:val="clear" w:color="auto" w:fill="FFFFFF"/>
        <w:rPr>
          <w:rFonts w:eastAsia="Calibri"/>
          <w:b/>
        </w:rPr>
      </w:pPr>
      <w:r w:rsidRPr="005F7FEC">
        <w:rPr>
          <w:rFonts w:eastAsia="Calibri"/>
          <w:b/>
        </w:rPr>
        <w:t xml:space="preserve">Introduction </w:t>
      </w:r>
    </w:p>
    <w:p w14:paraId="03C5E27A" w14:textId="77777777" w:rsidR="005F7FEC" w:rsidRPr="005F7FEC" w:rsidRDefault="005F7FEC" w:rsidP="005F7FEC">
      <w:pPr>
        <w:shd w:val="clear" w:color="auto" w:fill="FFFFFF"/>
        <w:rPr>
          <w:rFonts w:eastAsia="Calibri"/>
          <w:b/>
        </w:rPr>
      </w:pPr>
    </w:p>
    <w:p w14:paraId="598E2215" w14:textId="197F01F5" w:rsidR="005F7FEC" w:rsidRPr="005F7FEC" w:rsidRDefault="005F7FEC" w:rsidP="005F7FEC">
      <w:pPr>
        <w:shd w:val="clear" w:color="auto" w:fill="FFFFFF"/>
        <w:rPr>
          <w:rFonts w:eastAsia="Calibri"/>
        </w:rPr>
      </w:pPr>
      <w:r w:rsidRPr="005F7FEC">
        <w:rPr>
          <w:rFonts w:eastAsia="Calibri"/>
        </w:rPr>
        <w:t>A number of Key Performance Indicators (KPIs)</w:t>
      </w:r>
      <w:r w:rsidR="00B6469F">
        <w:rPr>
          <w:rFonts w:eastAsia="Calibri"/>
        </w:rPr>
        <w:t xml:space="preserve"> were ag</w:t>
      </w:r>
      <w:r w:rsidR="00D545B4">
        <w:rPr>
          <w:rFonts w:eastAsia="Calibri"/>
        </w:rPr>
        <w:t>reed as part of the 20</w:t>
      </w:r>
      <w:r w:rsidR="00A32AB5">
        <w:rPr>
          <w:rFonts w:eastAsia="Calibri"/>
        </w:rPr>
        <w:t>2</w:t>
      </w:r>
      <w:r w:rsidR="004911B1">
        <w:rPr>
          <w:rFonts w:eastAsia="Calibri"/>
        </w:rPr>
        <w:t>1</w:t>
      </w:r>
      <w:r w:rsidR="00D545B4">
        <w:rPr>
          <w:rFonts w:eastAsia="Calibri"/>
        </w:rPr>
        <w:t>-</w:t>
      </w:r>
      <w:r w:rsidR="00B6469F">
        <w:rPr>
          <w:rFonts w:eastAsia="Calibri"/>
        </w:rPr>
        <w:t>2</w:t>
      </w:r>
      <w:r w:rsidR="004911B1">
        <w:rPr>
          <w:rFonts w:eastAsia="Calibri"/>
        </w:rPr>
        <w:t>2</w:t>
      </w:r>
      <w:r w:rsidRPr="005F7FEC">
        <w:rPr>
          <w:rFonts w:eastAsia="Calibri"/>
        </w:rPr>
        <w:t xml:space="preserve"> </w:t>
      </w:r>
      <w:r>
        <w:rPr>
          <w:rFonts w:eastAsia="Calibri"/>
        </w:rPr>
        <w:t>Corporate Anti-Fraud Plan</w:t>
      </w:r>
      <w:r w:rsidRPr="005F7FEC">
        <w:rPr>
          <w:rFonts w:eastAsia="Calibri"/>
        </w:rPr>
        <w:t xml:space="preserve"> and performance against these is set out in the table below:</w:t>
      </w:r>
    </w:p>
    <w:p w14:paraId="3CBE6F93" w14:textId="77777777" w:rsidR="004D01A2" w:rsidRDefault="004D01A2" w:rsidP="002C54A1">
      <w:pPr>
        <w:rPr>
          <w:b/>
        </w:rPr>
      </w:pPr>
    </w:p>
    <w:p w14:paraId="70CB1C1D" w14:textId="77777777" w:rsidR="004D01A2" w:rsidRDefault="004D01A2" w:rsidP="002C54A1">
      <w:pP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134"/>
        <w:gridCol w:w="1163"/>
        <w:gridCol w:w="4366"/>
      </w:tblGrid>
      <w:tr w:rsidR="00587E6E" w14:paraId="589FE484" w14:textId="77777777" w:rsidTr="003514D6">
        <w:tc>
          <w:tcPr>
            <w:tcW w:w="851" w:type="dxa"/>
            <w:shd w:val="clear" w:color="auto" w:fill="17365D"/>
          </w:tcPr>
          <w:p w14:paraId="3B0269D7" w14:textId="77777777" w:rsidR="00587E6E" w:rsidRPr="00D62D67" w:rsidRDefault="00587E6E" w:rsidP="00BD2AE1">
            <w:pPr>
              <w:rPr>
                <w:b/>
              </w:rPr>
            </w:pPr>
            <w:r w:rsidRPr="00D62D67">
              <w:rPr>
                <w:b/>
              </w:rPr>
              <w:t>No.</w:t>
            </w:r>
          </w:p>
        </w:tc>
        <w:tc>
          <w:tcPr>
            <w:tcW w:w="2693" w:type="dxa"/>
            <w:shd w:val="clear" w:color="auto" w:fill="17365D"/>
          </w:tcPr>
          <w:p w14:paraId="66A326C2" w14:textId="02F328C9" w:rsidR="00587E6E" w:rsidRDefault="00587E6E" w:rsidP="00BD2AE1">
            <w:pPr>
              <w:rPr>
                <w:b/>
              </w:rPr>
            </w:pPr>
            <w:r>
              <w:rPr>
                <w:b/>
              </w:rPr>
              <w:t>CAFT Key Performance Indicators 202</w:t>
            </w:r>
            <w:r w:rsidR="004911B1">
              <w:rPr>
                <w:b/>
              </w:rPr>
              <w:t>1</w:t>
            </w:r>
            <w:r>
              <w:rPr>
                <w:b/>
              </w:rPr>
              <w:t>-2</w:t>
            </w:r>
            <w:r w:rsidR="004911B1">
              <w:rPr>
                <w:b/>
              </w:rPr>
              <w:t>2</w:t>
            </w:r>
          </w:p>
          <w:p w14:paraId="1C12CF86" w14:textId="77777777" w:rsidR="00587E6E" w:rsidRPr="00D62D67" w:rsidRDefault="00587E6E" w:rsidP="00BD2AE1">
            <w:pPr>
              <w:rPr>
                <w:b/>
              </w:rPr>
            </w:pPr>
          </w:p>
        </w:tc>
        <w:tc>
          <w:tcPr>
            <w:tcW w:w="1134" w:type="dxa"/>
            <w:shd w:val="clear" w:color="auto" w:fill="17365D"/>
          </w:tcPr>
          <w:p w14:paraId="335CB288" w14:textId="47DBBB75" w:rsidR="00587E6E" w:rsidRPr="00D62D67" w:rsidRDefault="003514D6" w:rsidP="00BD2AE1">
            <w:pPr>
              <w:rPr>
                <w:b/>
              </w:rPr>
            </w:pPr>
            <w:r>
              <w:rPr>
                <w:b/>
              </w:rPr>
              <w:t>Year-end target</w:t>
            </w:r>
          </w:p>
        </w:tc>
        <w:tc>
          <w:tcPr>
            <w:tcW w:w="1163" w:type="dxa"/>
            <w:tcBorders>
              <w:bottom w:val="single" w:sz="4" w:space="0" w:color="auto"/>
            </w:tcBorders>
            <w:shd w:val="clear" w:color="auto" w:fill="17365D"/>
          </w:tcPr>
          <w:p w14:paraId="0639D092" w14:textId="218A4CDB" w:rsidR="00587E6E" w:rsidRDefault="003514D6" w:rsidP="005F7FEC">
            <w:pPr>
              <w:rPr>
                <w:b/>
              </w:rPr>
            </w:pPr>
            <w:r>
              <w:rPr>
                <w:b/>
              </w:rPr>
              <w:t xml:space="preserve">Year-end </w:t>
            </w:r>
            <w:r w:rsidR="00587E6E">
              <w:rPr>
                <w:b/>
              </w:rPr>
              <w:t>output</w:t>
            </w:r>
          </w:p>
        </w:tc>
        <w:tc>
          <w:tcPr>
            <w:tcW w:w="4366" w:type="dxa"/>
            <w:tcBorders>
              <w:bottom w:val="single" w:sz="4" w:space="0" w:color="auto"/>
            </w:tcBorders>
            <w:shd w:val="clear" w:color="auto" w:fill="17365D"/>
          </w:tcPr>
          <w:p w14:paraId="73031740" w14:textId="77777777" w:rsidR="00587E6E" w:rsidRDefault="00587E6E" w:rsidP="00BD2AE1">
            <w:pPr>
              <w:rPr>
                <w:b/>
              </w:rPr>
            </w:pPr>
            <w:r>
              <w:rPr>
                <w:b/>
              </w:rPr>
              <w:t>Comments</w:t>
            </w:r>
          </w:p>
        </w:tc>
      </w:tr>
      <w:tr w:rsidR="00587E6E" w14:paraId="101F3CE5" w14:textId="77777777" w:rsidTr="003514D6">
        <w:tc>
          <w:tcPr>
            <w:tcW w:w="851" w:type="dxa"/>
            <w:shd w:val="clear" w:color="auto" w:fill="auto"/>
          </w:tcPr>
          <w:p w14:paraId="090E75F2" w14:textId="77777777" w:rsidR="00587E6E" w:rsidRPr="00016305" w:rsidRDefault="00587E6E" w:rsidP="00BD2AE1">
            <w:pPr>
              <w:rPr>
                <w:sz w:val="20"/>
                <w:szCs w:val="20"/>
              </w:rPr>
            </w:pPr>
            <w:r w:rsidRPr="00016305">
              <w:rPr>
                <w:sz w:val="20"/>
                <w:szCs w:val="20"/>
              </w:rPr>
              <w:t>1.</w:t>
            </w:r>
          </w:p>
        </w:tc>
        <w:tc>
          <w:tcPr>
            <w:tcW w:w="2693" w:type="dxa"/>
            <w:shd w:val="clear" w:color="auto" w:fill="auto"/>
          </w:tcPr>
          <w:p w14:paraId="682D9410" w14:textId="77777777" w:rsidR="00587E6E" w:rsidRDefault="00587E6E" w:rsidP="00BD2AE1">
            <w:pPr>
              <w:rPr>
                <w:sz w:val="20"/>
                <w:szCs w:val="20"/>
                <w:lang w:val="en-US"/>
              </w:rPr>
            </w:pPr>
            <w:r>
              <w:rPr>
                <w:sz w:val="20"/>
                <w:szCs w:val="20"/>
                <w:lang w:val="en-US"/>
              </w:rPr>
              <w:t>Recovery of a combined total 10</w:t>
            </w:r>
            <w:r w:rsidRPr="00016305">
              <w:rPr>
                <w:sz w:val="20"/>
                <w:szCs w:val="20"/>
                <w:lang w:val="en-US"/>
              </w:rPr>
              <w:t xml:space="preserve"> social housing units subject to fraud and misuse</w:t>
            </w:r>
            <w:r>
              <w:rPr>
                <w:sz w:val="20"/>
                <w:szCs w:val="20"/>
                <w:lang w:val="en-US"/>
              </w:rPr>
              <w:t xml:space="preserve"> and the disruption / interception of fraudulent Right to Buy applications </w:t>
            </w:r>
          </w:p>
          <w:p w14:paraId="5527BC0A" w14:textId="5292E37A" w:rsidR="00454C92" w:rsidRPr="00016305" w:rsidRDefault="00454C92" w:rsidP="00BD2AE1">
            <w:pPr>
              <w:rPr>
                <w:sz w:val="20"/>
                <w:szCs w:val="20"/>
                <w:lang w:val="en-US"/>
              </w:rPr>
            </w:pPr>
          </w:p>
        </w:tc>
        <w:tc>
          <w:tcPr>
            <w:tcW w:w="1134" w:type="dxa"/>
            <w:shd w:val="clear" w:color="auto" w:fill="FFFFFF"/>
          </w:tcPr>
          <w:p w14:paraId="0AA8D52B" w14:textId="57A572E6" w:rsidR="00587E6E" w:rsidRPr="00016305" w:rsidRDefault="003514D6" w:rsidP="00BD2AE1">
            <w:pPr>
              <w:rPr>
                <w:sz w:val="20"/>
                <w:szCs w:val="20"/>
              </w:rPr>
            </w:pPr>
            <w:r>
              <w:rPr>
                <w:sz w:val="20"/>
                <w:szCs w:val="20"/>
              </w:rPr>
              <w:t>10</w:t>
            </w:r>
          </w:p>
        </w:tc>
        <w:tc>
          <w:tcPr>
            <w:tcW w:w="1163" w:type="dxa"/>
            <w:shd w:val="clear" w:color="auto" w:fill="FFFFFF"/>
          </w:tcPr>
          <w:p w14:paraId="0A069BD4" w14:textId="7D331C33" w:rsidR="00587E6E" w:rsidRPr="00016305" w:rsidRDefault="008B2134" w:rsidP="00D93810">
            <w:pPr>
              <w:rPr>
                <w:sz w:val="20"/>
                <w:szCs w:val="20"/>
              </w:rPr>
            </w:pPr>
            <w:r>
              <w:rPr>
                <w:sz w:val="20"/>
                <w:szCs w:val="20"/>
              </w:rPr>
              <w:t>11</w:t>
            </w:r>
            <w:r w:rsidR="003514D6">
              <w:rPr>
                <w:sz w:val="20"/>
                <w:szCs w:val="20"/>
              </w:rPr>
              <w:t xml:space="preserve"> (</w:t>
            </w:r>
            <w:r>
              <w:rPr>
                <w:sz w:val="20"/>
                <w:szCs w:val="20"/>
              </w:rPr>
              <w:t>110</w:t>
            </w:r>
            <w:r w:rsidR="003514D6">
              <w:rPr>
                <w:sz w:val="20"/>
                <w:szCs w:val="20"/>
              </w:rPr>
              <w:t>%)</w:t>
            </w:r>
          </w:p>
        </w:tc>
        <w:tc>
          <w:tcPr>
            <w:tcW w:w="4366" w:type="dxa"/>
            <w:shd w:val="clear" w:color="auto" w:fill="FFFFFF"/>
          </w:tcPr>
          <w:p w14:paraId="3A94D940" w14:textId="3479519B" w:rsidR="00587E6E" w:rsidRPr="00016305" w:rsidRDefault="008B2134" w:rsidP="00BD2AE1">
            <w:pPr>
              <w:rPr>
                <w:b/>
                <w:sz w:val="20"/>
                <w:szCs w:val="20"/>
              </w:rPr>
            </w:pPr>
            <w:r>
              <w:rPr>
                <w:b/>
                <w:sz w:val="20"/>
                <w:szCs w:val="20"/>
              </w:rPr>
              <w:t>A</w:t>
            </w:r>
            <w:r w:rsidR="00FF5536">
              <w:rPr>
                <w:b/>
                <w:sz w:val="20"/>
                <w:szCs w:val="20"/>
              </w:rPr>
              <w:t>chiev</w:t>
            </w:r>
            <w:r w:rsidR="003514D6">
              <w:rPr>
                <w:b/>
                <w:sz w:val="20"/>
                <w:szCs w:val="20"/>
              </w:rPr>
              <w:t>ed</w:t>
            </w:r>
          </w:p>
          <w:p w14:paraId="7B5F3FCB" w14:textId="6F63217E" w:rsidR="00587E6E" w:rsidRPr="00016305" w:rsidRDefault="008B2134" w:rsidP="00BD2AE1">
            <w:pPr>
              <w:rPr>
                <w:sz w:val="20"/>
                <w:szCs w:val="20"/>
              </w:rPr>
            </w:pPr>
            <w:r>
              <w:rPr>
                <w:sz w:val="20"/>
                <w:szCs w:val="20"/>
              </w:rPr>
              <w:t>9</w:t>
            </w:r>
            <w:r w:rsidR="00587E6E">
              <w:rPr>
                <w:sz w:val="20"/>
                <w:szCs w:val="20"/>
              </w:rPr>
              <w:t xml:space="preserve"> Right to Buy applications </w:t>
            </w:r>
            <w:r w:rsidR="003514D6">
              <w:rPr>
                <w:sz w:val="20"/>
                <w:szCs w:val="20"/>
              </w:rPr>
              <w:t xml:space="preserve">were </w:t>
            </w:r>
            <w:r w:rsidR="00587E6E">
              <w:rPr>
                <w:sz w:val="20"/>
                <w:szCs w:val="20"/>
              </w:rPr>
              <w:t>intercepted</w:t>
            </w:r>
            <w:r w:rsidR="003514D6">
              <w:rPr>
                <w:sz w:val="20"/>
                <w:szCs w:val="20"/>
              </w:rPr>
              <w:t xml:space="preserve"> and 2 housing tenancies recovered suspected of </w:t>
            </w:r>
            <w:proofErr w:type="spellStart"/>
            <w:r w:rsidR="003514D6">
              <w:rPr>
                <w:sz w:val="20"/>
                <w:szCs w:val="20"/>
              </w:rPr>
              <w:t>non occupation</w:t>
            </w:r>
            <w:proofErr w:type="spellEnd"/>
            <w:r w:rsidR="003514D6">
              <w:rPr>
                <w:sz w:val="20"/>
                <w:szCs w:val="20"/>
              </w:rPr>
              <w:t>/misuse</w:t>
            </w:r>
            <w:r w:rsidR="00587E6E">
              <w:rPr>
                <w:sz w:val="20"/>
                <w:szCs w:val="20"/>
              </w:rPr>
              <w:t>.</w:t>
            </w:r>
            <w:r w:rsidR="00F07BEE">
              <w:rPr>
                <w:sz w:val="20"/>
                <w:szCs w:val="20"/>
              </w:rPr>
              <w:t xml:space="preserve">  There were also 2 RSL tenancies recovered. </w:t>
            </w:r>
            <w:r w:rsidR="00587E6E">
              <w:rPr>
                <w:sz w:val="20"/>
                <w:szCs w:val="20"/>
              </w:rPr>
              <w:t xml:space="preserve">  </w:t>
            </w:r>
          </w:p>
        </w:tc>
      </w:tr>
      <w:tr w:rsidR="00587E6E" w14:paraId="091F4F57" w14:textId="77777777" w:rsidTr="003514D6">
        <w:tc>
          <w:tcPr>
            <w:tcW w:w="851" w:type="dxa"/>
            <w:shd w:val="clear" w:color="auto" w:fill="auto"/>
          </w:tcPr>
          <w:p w14:paraId="196FD145" w14:textId="77777777" w:rsidR="00587E6E" w:rsidRPr="00016305" w:rsidRDefault="00587E6E" w:rsidP="00BD2AE1">
            <w:pPr>
              <w:rPr>
                <w:sz w:val="20"/>
                <w:szCs w:val="20"/>
              </w:rPr>
            </w:pPr>
            <w:r w:rsidRPr="00016305">
              <w:rPr>
                <w:sz w:val="20"/>
                <w:szCs w:val="20"/>
              </w:rPr>
              <w:t>2.</w:t>
            </w:r>
          </w:p>
        </w:tc>
        <w:tc>
          <w:tcPr>
            <w:tcW w:w="2693" w:type="dxa"/>
            <w:shd w:val="clear" w:color="auto" w:fill="auto"/>
          </w:tcPr>
          <w:p w14:paraId="71BC00C1" w14:textId="77777777" w:rsidR="00587E6E" w:rsidRPr="00016305" w:rsidRDefault="00587E6E" w:rsidP="0066202C">
            <w:pPr>
              <w:rPr>
                <w:sz w:val="20"/>
                <w:szCs w:val="20"/>
              </w:rPr>
            </w:pPr>
            <w:r w:rsidRPr="00016305">
              <w:rPr>
                <w:sz w:val="20"/>
                <w:szCs w:val="20"/>
              </w:rPr>
              <w:t>Fraud validation checks undertaken on Right to Buy applications referred to the CAFT at offer stage and before completion</w:t>
            </w:r>
          </w:p>
          <w:p w14:paraId="5475F143" w14:textId="77777777" w:rsidR="00587E6E" w:rsidRPr="00016305" w:rsidRDefault="00587E6E" w:rsidP="0066202C">
            <w:pPr>
              <w:rPr>
                <w:sz w:val="20"/>
                <w:szCs w:val="20"/>
              </w:rPr>
            </w:pPr>
          </w:p>
        </w:tc>
        <w:tc>
          <w:tcPr>
            <w:tcW w:w="1134" w:type="dxa"/>
            <w:shd w:val="clear" w:color="auto" w:fill="auto"/>
          </w:tcPr>
          <w:p w14:paraId="4BB568A3" w14:textId="77777777" w:rsidR="00587E6E" w:rsidRPr="00016305" w:rsidRDefault="00587E6E" w:rsidP="00BD2AE1">
            <w:pPr>
              <w:rPr>
                <w:sz w:val="20"/>
                <w:szCs w:val="20"/>
              </w:rPr>
            </w:pPr>
            <w:r w:rsidRPr="00016305">
              <w:rPr>
                <w:sz w:val="20"/>
                <w:szCs w:val="20"/>
              </w:rPr>
              <w:t>90%</w:t>
            </w:r>
          </w:p>
        </w:tc>
        <w:tc>
          <w:tcPr>
            <w:tcW w:w="1163" w:type="dxa"/>
            <w:shd w:val="clear" w:color="auto" w:fill="FFFFFF"/>
          </w:tcPr>
          <w:p w14:paraId="097C1221" w14:textId="08A68269" w:rsidR="00587E6E" w:rsidRPr="00016305" w:rsidRDefault="00587E6E" w:rsidP="00D93810">
            <w:pPr>
              <w:rPr>
                <w:sz w:val="20"/>
                <w:szCs w:val="20"/>
              </w:rPr>
            </w:pPr>
            <w:r w:rsidRPr="00016305">
              <w:rPr>
                <w:sz w:val="20"/>
                <w:szCs w:val="20"/>
              </w:rPr>
              <w:t>100%</w:t>
            </w:r>
            <w:r>
              <w:rPr>
                <w:sz w:val="20"/>
                <w:szCs w:val="20"/>
              </w:rPr>
              <w:t xml:space="preserve"> (</w:t>
            </w:r>
            <w:r w:rsidR="008B2134">
              <w:rPr>
                <w:sz w:val="20"/>
                <w:szCs w:val="20"/>
              </w:rPr>
              <w:t>31</w:t>
            </w:r>
            <w:r w:rsidR="003514D6">
              <w:rPr>
                <w:sz w:val="20"/>
                <w:szCs w:val="20"/>
              </w:rPr>
              <w:t>/</w:t>
            </w:r>
            <w:r w:rsidR="008B2134">
              <w:rPr>
                <w:sz w:val="20"/>
                <w:szCs w:val="20"/>
              </w:rPr>
              <w:t>31</w:t>
            </w:r>
            <w:r w:rsidR="003514D6">
              <w:rPr>
                <w:sz w:val="20"/>
                <w:szCs w:val="20"/>
              </w:rPr>
              <w:t>)</w:t>
            </w:r>
            <w:r w:rsidRPr="00016305">
              <w:rPr>
                <w:sz w:val="20"/>
                <w:szCs w:val="20"/>
              </w:rPr>
              <w:t xml:space="preserve"> </w:t>
            </w:r>
          </w:p>
        </w:tc>
        <w:tc>
          <w:tcPr>
            <w:tcW w:w="4366" w:type="dxa"/>
            <w:shd w:val="clear" w:color="auto" w:fill="FFFFFF"/>
          </w:tcPr>
          <w:p w14:paraId="77D03874" w14:textId="4A7CE2CF" w:rsidR="00587E6E" w:rsidRPr="00016305" w:rsidRDefault="00587E6E" w:rsidP="00BD2AE1">
            <w:pPr>
              <w:rPr>
                <w:b/>
                <w:sz w:val="20"/>
                <w:szCs w:val="20"/>
              </w:rPr>
            </w:pPr>
            <w:r>
              <w:rPr>
                <w:b/>
                <w:sz w:val="20"/>
                <w:szCs w:val="20"/>
              </w:rPr>
              <w:t>Achiev</w:t>
            </w:r>
            <w:r w:rsidR="003514D6">
              <w:rPr>
                <w:b/>
                <w:sz w:val="20"/>
                <w:szCs w:val="20"/>
              </w:rPr>
              <w:t>ed</w:t>
            </w:r>
            <w:r>
              <w:rPr>
                <w:b/>
                <w:sz w:val="20"/>
                <w:szCs w:val="20"/>
              </w:rPr>
              <w:t xml:space="preserve"> </w:t>
            </w:r>
          </w:p>
          <w:p w14:paraId="364FE231" w14:textId="77777777" w:rsidR="00587E6E" w:rsidRDefault="00587E6E" w:rsidP="00BD2AE1">
            <w:pPr>
              <w:rPr>
                <w:sz w:val="20"/>
                <w:szCs w:val="20"/>
              </w:rPr>
            </w:pPr>
            <w:r>
              <w:rPr>
                <w:sz w:val="20"/>
                <w:szCs w:val="20"/>
              </w:rPr>
              <w:t xml:space="preserve">Of the </w:t>
            </w:r>
            <w:r w:rsidR="008B2134">
              <w:rPr>
                <w:sz w:val="20"/>
                <w:szCs w:val="20"/>
              </w:rPr>
              <w:t>31</w:t>
            </w:r>
            <w:r>
              <w:rPr>
                <w:sz w:val="20"/>
                <w:szCs w:val="20"/>
              </w:rPr>
              <w:t xml:space="preserve"> </w:t>
            </w:r>
            <w:r w:rsidRPr="00016305">
              <w:rPr>
                <w:sz w:val="20"/>
                <w:szCs w:val="20"/>
              </w:rPr>
              <w:t>Right to Buy applications received by the team during in the year</w:t>
            </w:r>
            <w:r>
              <w:rPr>
                <w:sz w:val="20"/>
                <w:szCs w:val="20"/>
              </w:rPr>
              <w:t>,</w:t>
            </w:r>
            <w:r w:rsidRPr="00016305">
              <w:rPr>
                <w:sz w:val="20"/>
                <w:szCs w:val="20"/>
              </w:rPr>
              <w:t xml:space="preserve"> </w:t>
            </w:r>
            <w:r>
              <w:rPr>
                <w:sz w:val="20"/>
                <w:szCs w:val="20"/>
              </w:rPr>
              <w:t xml:space="preserve">all </w:t>
            </w:r>
            <w:r w:rsidR="008B2134">
              <w:rPr>
                <w:sz w:val="20"/>
                <w:szCs w:val="20"/>
              </w:rPr>
              <w:t>31</w:t>
            </w:r>
            <w:r>
              <w:rPr>
                <w:sz w:val="20"/>
                <w:szCs w:val="20"/>
              </w:rPr>
              <w:t xml:space="preserve"> (100%) </w:t>
            </w:r>
            <w:r w:rsidRPr="00016305">
              <w:rPr>
                <w:sz w:val="20"/>
                <w:szCs w:val="20"/>
              </w:rPr>
              <w:t xml:space="preserve">had anti money laundering </w:t>
            </w:r>
            <w:r w:rsidR="008B2134">
              <w:rPr>
                <w:sz w:val="20"/>
                <w:szCs w:val="20"/>
              </w:rPr>
              <w:t xml:space="preserve">and occupancy </w:t>
            </w:r>
            <w:r w:rsidRPr="00016305">
              <w:rPr>
                <w:sz w:val="20"/>
                <w:szCs w:val="20"/>
              </w:rPr>
              <w:t>checks carried out before purchase or were in progress before a decision made to accept or deny the purchase.</w:t>
            </w:r>
          </w:p>
          <w:p w14:paraId="0A12AA63" w14:textId="5A602A9E" w:rsidR="007A41C8" w:rsidRPr="00016305" w:rsidRDefault="007A41C8" w:rsidP="00BD2AE1">
            <w:pPr>
              <w:rPr>
                <w:sz w:val="20"/>
                <w:szCs w:val="20"/>
              </w:rPr>
            </w:pPr>
          </w:p>
        </w:tc>
      </w:tr>
      <w:tr w:rsidR="00587E6E" w14:paraId="52785CC0" w14:textId="77777777" w:rsidTr="003514D6">
        <w:trPr>
          <w:trHeight w:val="793"/>
        </w:trPr>
        <w:tc>
          <w:tcPr>
            <w:tcW w:w="851" w:type="dxa"/>
            <w:shd w:val="clear" w:color="auto" w:fill="auto"/>
          </w:tcPr>
          <w:p w14:paraId="11337900" w14:textId="77777777" w:rsidR="00587E6E" w:rsidRPr="00016305" w:rsidRDefault="00587E6E" w:rsidP="00BD2AE1">
            <w:pPr>
              <w:rPr>
                <w:sz w:val="20"/>
                <w:szCs w:val="20"/>
              </w:rPr>
            </w:pPr>
            <w:r w:rsidRPr="00016305">
              <w:rPr>
                <w:sz w:val="20"/>
                <w:szCs w:val="20"/>
              </w:rPr>
              <w:t>3.</w:t>
            </w:r>
          </w:p>
        </w:tc>
        <w:tc>
          <w:tcPr>
            <w:tcW w:w="2693" w:type="dxa"/>
            <w:shd w:val="clear" w:color="auto" w:fill="auto"/>
          </w:tcPr>
          <w:p w14:paraId="7EB5B7E8" w14:textId="77777777" w:rsidR="00587E6E" w:rsidRPr="00016305" w:rsidRDefault="00587E6E" w:rsidP="00BD2AE1">
            <w:pPr>
              <w:rPr>
                <w:sz w:val="20"/>
                <w:szCs w:val="20"/>
              </w:rPr>
            </w:pPr>
            <w:r w:rsidRPr="00016305">
              <w:rPr>
                <w:sz w:val="20"/>
                <w:szCs w:val="20"/>
              </w:rPr>
              <w:t>Internal fraud and corruption referrals risk assessed and resources deployed in 5 working days</w:t>
            </w:r>
          </w:p>
        </w:tc>
        <w:tc>
          <w:tcPr>
            <w:tcW w:w="1134" w:type="dxa"/>
            <w:shd w:val="clear" w:color="auto" w:fill="auto"/>
          </w:tcPr>
          <w:p w14:paraId="1C5D475B" w14:textId="1AE521AC" w:rsidR="00587E6E" w:rsidRPr="00016305" w:rsidRDefault="00587E6E" w:rsidP="00BD2AE1">
            <w:pPr>
              <w:rPr>
                <w:sz w:val="20"/>
                <w:szCs w:val="20"/>
              </w:rPr>
            </w:pPr>
            <w:r>
              <w:rPr>
                <w:sz w:val="20"/>
                <w:szCs w:val="20"/>
              </w:rPr>
              <w:t>8</w:t>
            </w:r>
            <w:r w:rsidR="00EF3648">
              <w:rPr>
                <w:sz w:val="20"/>
                <w:szCs w:val="20"/>
              </w:rPr>
              <w:t>5</w:t>
            </w:r>
            <w:r w:rsidRPr="00016305">
              <w:rPr>
                <w:sz w:val="20"/>
                <w:szCs w:val="20"/>
              </w:rPr>
              <w:t>%</w:t>
            </w:r>
          </w:p>
        </w:tc>
        <w:tc>
          <w:tcPr>
            <w:tcW w:w="1163" w:type="dxa"/>
            <w:shd w:val="clear" w:color="auto" w:fill="FFFFFF"/>
          </w:tcPr>
          <w:p w14:paraId="41871C24" w14:textId="6491B651" w:rsidR="00587E6E" w:rsidRPr="00016305" w:rsidRDefault="00587E6E" w:rsidP="007546A6">
            <w:pPr>
              <w:rPr>
                <w:sz w:val="20"/>
                <w:szCs w:val="20"/>
              </w:rPr>
            </w:pPr>
            <w:r w:rsidRPr="00016305">
              <w:rPr>
                <w:sz w:val="20"/>
                <w:szCs w:val="20"/>
              </w:rPr>
              <w:t xml:space="preserve"> </w:t>
            </w:r>
            <w:r w:rsidR="00A2109D">
              <w:rPr>
                <w:sz w:val="20"/>
                <w:szCs w:val="20"/>
              </w:rPr>
              <w:t>92</w:t>
            </w:r>
            <w:r w:rsidR="003514D6">
              <w:rPr>
                <w:sz w:val="20"/>
                <w:szCs w:val="20"/>
              </w:rPr>
              <w:t>% (</w:t>
            </w:r>
            <w:r w:rsidR="00A2109D">
              <w:rPr>
                <w:sz w:val="20"/>
                <w:szCs w:val="20"/>
              </w:rPr>
              <w:t>11/12</w:t>
            </w:r>
            <w:r w:rsidR="003514D6">
              <w:rPr>
                <w:sz w:val="20"/>
                <w:szCs w:val="20"/>
              </w:rPr>
              <w:t>)</w:t>
            </w:r>
          </w:p>
        </w:tc>
        <w:tc>
          <w:tcPr>
            <w:tcW w:w="4366" w:type="dxa"/>
            <w:shd w:val="clear" w:color="auto" w:fill="FFFFFF"/>
          </w:tcPr>
          <w:p w14:paraId="774F5FC0" w14:textId="4C37B693" w:rsidR="00587E6E" w:rsidRPr="00016305" w:rsidRDefault="006528F5" w:rsidP="00BD2AE1">
            <w:pPr>
              <w:rPr>
                <w:b/>
                <w:sz w:val="20"/>
                <w:szCs w:val="20"/>
              </w:rPr>
            </w:pPr>
            <w:r>
              <w:rPr>
                <w:b/>
                <w:sz w:val="20"/>
                <w:szCs w:val="20"/>
              </w:rPr>
              <w:t>A</w:t>
            </w:r>
            <w:r w:rsidR="003514D6">
              <w:rPr>
                <w:b/>
                <w:sz w:val="20"/>
                <w:szCs w:val="20"/>
              </w:rPr>
              <w:t>chieved</w:t>
            </w:r>
          </w:p>
          <w:p w14:paraId="2926545C" w14:textId="77777777" w:rsidR="007A41C8" w:rsidRDefault="00587E6E" w:rsidP="00016305">
            <w:pPr>
              <w:rPr>
                <w:sz w:val="20"/>
                <w:szCs w:val="20"/>
              </w:rPr>
            </w:pPr>
            <w:r>
              <w:rPr>
                <w:sz w:val="20"/>
                <w:szCs w:val="20"/>
              </w:rPr>
              <w:t xml:space="preserve">Of the </w:t>
            </w:r>
            <w:r w:rsidR="00FB5343">
              <w:rPr>
                <w:sz w:val="20"/>
                <w:szCs w:val="20"/>
              </w:rPr>
              <w:t>12</w:t>
            </w:r>
            <w:r w:rsidRPr="00016305">
              <w:rPr>
                <w:sz w:val="20"/>
                <w:szCs w:val="20"/>
              </w:rPr>
              <w:t xml:space="preserve"> internal fraud and corruption refer</w:t>
            </w:r>
            <w:r>
              <w:rPr>
                <w:sz w:val="20"/>
                <w:szCs w:val="20"/>
              </w:rPr>
              <w:t xml:space="preserve">rals received by the team, </w:t>
            </w:r>
            <w:r w:rsidR="006528F5">
              <w:rPr>
                <w:sz w:val="20"/>
                <w:szCs w:val="20"/>
              </w:rPr>
              <w:t>11</w:t>
            </w:r>
            <w:r>
              <w:rPr>
                <w:sz w:val="20"/>
                <w:szCs w:val="20"/>
              </w:rPr>
              <w:t xml:space="preserve"> (</w:t>
            </w:r>
            <w:r w:rsidR="006528F5">
              <w:rPr>
                <w:sz w:val="20"/>
                <w:szCs w:val="20"/>
              </w:rPr>
              <w:t>92</w:t>
            </w:r>
            <w:r w:rsidRPr="00016305">
              <w:rPr>
                <w:sz w:val="20"/>
                <w:szCs w:val="20"/>
              </w:rPr>
              <w:t>%) were risk assessed and resources deployed within 5 working days</w:t>
            </w:r>
            <w:r w:rsidR="006528F5">
              <w:rPr>
                <w:sz w:val="20"/>
                <w:szCs w:val="20"/>
              </w:rPr>
              <w:t>.</w:t>
            </w:r>
          </w:p>
          <w:p w14:paraId="3B193E50" w14:textId="31A52FC5" w:rsidR="00587E6E" w:rsidRPr="00016305" w:rsidRDefault="003514D6" w:rsidP="00016305">
            <w:pPr>
              <w:rPr>
                <w:b/>
                <w:sz w:val="20"/>
                <w:szCs w:val="20"/>
              </w:rPr>
            </w:pPr>
            <w:r>
              <w:rPr>
                <w:sz w:val="20"/>
                <w:szCs w:val="20"/>
              </w:rPr>
              <w:t xml:space="preserve"> </w:t>
            </w:r>
          </w:p>
        </w:tc>
      </w:tr>
      <w:tr w:rsidR="00587E6E" w14:paraId="371B9103" w14:textId="77777777" w:rsidTr="003514D6">
        <w:trPr>
          <w:trHeight w:val="477"/>
        </w:trPr>
        <w:tc>
          <w:tcPr>
            <w:tcW w:w="851" w:type="dxa"/>
            <w:shd w:val="clear" w:color="auto" w:fill="auto"/>
          </w:tcPr>
          <w:p w14:paraId="6E8B1BD9" w14:textId="77777777" w:rsidR="00587E6E" w:rsidRPr="00016305" w:rsidRDefault="00587E6E" w:rsidP="00BD2AE1">
            <w:pPr>
              <w:rPr>
                <w:sz w:val="20"/>
                <w:szCs w:val="20"/>
              </w:rPr>
            </w:pPr>
            <w:r w:rsidRPr="00016305">
              <w:rPr>
                <w:sz w:val="20"/>
                <w:szCs w:val="20"/>
              </w:rPr>
              <w:t>4.</w:t>
            </w:r>
          </w:p>
        </w:tc>
        <w:tc>
          <w:tcPr>
            <w:tcW w:w="2693" w:type="dxa"/>
            <w:shd w:val="clear" w:color="auto" w:fill="auto"/>
          </w:tcPr>
          <w:p w14:paraId="69B83576" w14:textId="77777777" w:rsidR="00587E6E" w:rsidRPr="00016305" w:rsidRDefault="00587E6E" w:rsidP="0066202C">
            <w:pPr>
              <w:rPr>
                <w:sz w:val="20"/>
                <w:szCs w:val="20"/>
              </w:rPr>
            </w:pPr>
            <w:r w:rsidRPr="00016305">
              <w:rPr>
                <w:sz w:val="20"/>
                <w:szCs w:val="20"/>
              </w:rPr>
              <w:t>Fraud and corruption referrals risk assessed and resources deployed in 10 working days</w:t>
            </w:r>
          </w:p>
          <w:p w14:paraId="5AE7E3C8" w14:textId="77777777" w:rsidR="00587E6E" w:rsidRPr="00016305" w:rsidRDefault="00587E6E" w:rsidP="0066202C">
            <w:pPr>
              <w:rPr>
                <w:sz w:val="20"/>
                <w:szCs w:val="20"/>
              </w:rPr>
            </w:pPr>
          </w:p>
        </w:tc>
        <w:tc>
          <w:tcPr>
            <w:tcW w:w="1134" w:type="dxa"/>
            <w:shd w:val="clear" w:color="auto" w:fill="auto"/>
          </w:tcPr>
          <w:p w14:paraId="0D1A496C" w14:textId="173CCC53" w:rsidR="00587E6E" w:rsidRPr="00016305" w:rsidRDefault="00587E6E" w:rsidP="00BD2AE1">
            <w:pPr>
              <w:rPr>
                <w:sz w:val="20"/>
                <w:szCs w:val="20"/>
              </w:rPr>
            </w:pPr>
            <w:r w:rsidRPr="00016305">
              <w:rPr>
                <w:sz w:val="20"/>
                <w:szCs w:val="20"/>
              </w:rPr>
              <w:t>8</w:t>
            </w:r>
            <w:r w:rsidR="00EF3648">
              <w:rPr>
                <w:sz w:val="20"/>
                <w:szCs w:val="20"/>
              </w:rPr>
              <w:t>5</w:t>
            </w:r>
            <w:r w:rsidRPr="00016305">
              <w:rPr>
                <w:sz w:val="20"/>
                <w:szCs w:val="20"/>
              </w:rPr>
              <w:t>%</w:t>
            </w:r>
          </w:p>
        </w:tc>
        <w:tc>
          <w:tcPr>
            <w:tcW w:w="1163" w:type="dxa"/>
            <w:tcBorders>
              <w:bottom w:val="single" w:sz="4" w:space="0" w:color="auto"/>
            </w:tcBorders>
            <w:shd w:val="clear" w:color="auto" w:fill="FFFFFF"/>
          </w:tcPr>
          <w:p w14:paraId="447F7EF0" w14:textId="6622D32A" w:rsidR="00587E6E" w:rsidRPr="00016305" w:rsidRDefault="00F07BEE" w:rsidP="00D93810">
            <w:pPr>
              <w:rPr>
                <w:sz w:val="20"/>
                <w:szCs w:val="20"/>
              </w:rPr>
            </w:pPr>
            <w:r>
              <w:rPr>
                <w:sz w:val="20"/>
                <w:szCs w:val="20"/>
              </w:rPr>
              <w:t>100</w:t>
            </w:r>
            <w:r w:rsidR="00587E6E" w:rsidRPr="00016305">
              <w:rPr>
                <w:sz w:val="20"/>
                <w:szCs w:val="20"/>
              </w:rPr>
              <w:t xml:space="preserve">% </w:t>
            </w:r>
            <w:r w:rsidR="00587E6E">
              <w:rPr>
                <w:sz w:val="20"/>
                <w:szCs w:val="20"/>
              </w:rPr>
              <w:t>(</w:t>
            </w:r>
            <w:r w:rsidR="00325709">
              <w:rPr>
                <w:sz w:val="20"/>
                <w:szCs w:val="20"/>
              </w:rPr>
              <w:t>9</w:t>
            </w:r>
            <w:r w:rsidR="00FB5343">
              <w:rPr>
                <w:sz w:val="20"/>
                <w:szCs w:val="20"/>
              </w:rPr>
              <w:t>4</w:t>
            </w:r>
            <w:r w:rsidR="00325709">
              <w:rPr>
                <w:sz w:val="20"/>
                <w:szCs w:val="20"/>
              </w:rPr>
              <w:t>/9</w:t>
            </w:r>
            <w:r w:rsidR="00FB5343">
              <w:rPr>
                <w:sz w:val="20"/>
                <w:szCs w:val="20"/>
              </w:rPr>
              <w:t>4</w:t>
            </w:r>
            <w:r w:rsidR="00587E6E">
              <w:rPr>
                <w:sz w:val="20"/>
                <w:szCs w:val="20"/>
              </w:rPr>
              <w:t>)</w:t>
            </w:r>
          </w:p>
        </w:tc>
        <w:tc>
          <w:tcPr>
            <w:tcW w:w="4366" w:type="dxa"/>
            <w:tcBorders>
              <w:bottom w:val="single" w:sz="4" w:space="0" w:color="auto"/>
            </w:tcBorders>
            <w:shd w:val="clear" w:color="auto" w:fill="FFFFFF"/>
          </w:tcPr>
          <w:p w14:paraId="6A359AB2" w14:textId="6A44A2E5" w:rsidR="00587E6E" w:rsidRPr="00016305" w:rsidRDefault="00587E6E" w:rsidP="00BD2AE1">
            <w:pPr>
              <w:rPr>
                <w:b/>
                <w:sz w:val="20"/>
                <w:szCs w:val="20"/>
              </w:rPr>
            </w:pPr>
            <w:r>
              <w:rPr>
                <w:b/>
                <w:sz w:val="20"/>
                <w:szCs w:val="20"/>
              </w:rPr>
              <w:t>Achiev</w:t>
            </w:r>
            <w:r w:rsidR="003514D6">
              <w:rPr>
                <w:b/>
                <w:sz w:val="20"/>
                <w:szCs w:val="20"/>
              </w:rPr>
              <w:t>ed</w:t>
            </w:r>
          </w:p>
          <w:p w14:paraId="257C92E1" w14:textId="356D633C" w:rsidR="00587E6E" w:rsidRPr="00016305" w:rsidRDefault="00587E6E" w:rsidP="00016305">
            <w:pPr>
              <w:rPr>
                <w:b/>
                <w:sz w:val="20"/>
                <w:szCs w:val="20"/>
              </w:rPr>
            </w:pPr>
            <w:r>
              <w:rPr>
                <w:sz w:val="20"/>
                <w:szCs w:val="20"/>
              </w:rPr>
              <w:t xml:space="preserve">Of the </w:t>
            </w:r>
            <w:r w:rsidR="00325709">
              <w:rPr>
                <w:sz w:val="20"/>
                <w:szCs w:val="20"/>
              </w:rPr>
              <w:t>9</w:t>
            </w:r>
            <w:r w:rsidR="00FB5343">
              <w:rPr>
                <w:sz w:val="20"/>
                <w:szCs w:val="20"/>
              </w:rPr>
              <w:t>4</w:t>
            </w:r>
            <w:r w:rsidRPr="00016305">
              <w:rPr>
                <w:sz w:val="20"/>
                <w:szCs w:val="20"/>
              </w:rPr>
              <w:t xml:space="preserve"> referrals received </w:t>
            </w:r>
            <w:r>
              <w:rPr>
                <w:sz w:val="20"/>
                <w:szCs w:val="20"/>
              </w:rPr>
              <w:t xml:space="preserve">by the team during the year, </w:t>
            </w:r>
            <w:r w:rsidR="00454C92">
              <w:rPr>
                <w:sz w:val="20"/>
                <w:szCs w:val="20"/>
              </w:rPr>
              <w:t>94</w:t>
            </w:r>
            <w:r>
              <w:rPr>
                <w:sz w:val="20"/>
                <w:szCs w:val="20"/>
              </w:rPr>
              <w:t xml:space="preserve"> (</w:t>
            </w:r>
            <w:r w:rsidR="00454C92">
              <w:rPr>
                <w:sz w:val="20"/>
                <w:szCs w:val="20"/>
              </w:rPr>
              <w:t>100</w:t>
            </w:r>
            <w:r w:rsidRPr="00016305">
              <w:rPr>
                <w:sz w:val="20"/>
                <w:szCs w:val="20"/>
              </w:rPr>
              <w:t>%) were risk assessed and resources deployed within 10 working days.</w:t>
            </w:r>
          </w:p>
        </w:tc>
      </w:tr>
      <w:tr w:rsidR="00587E6E" w14:paraId="0D486CC8" w14:textId="77777777" w:rsidTr="003514D6">
        <w:trPr>
          <w:trHeight w:val="541"/>
        </w:trPr>
        <w:tc>
          <w:tcPr>
            <w:tcW w:w="851" w:type="dxa"/>
            <w:shd w:val="clear" w:color="auto" w:fill="auto"/>
          </w:tcPr>
          <w:p w14:paraId="379700AC" w14:textId="77777777" w:rsidR="00587E6E" w:rsidRPr="00016305" w:rsidRDefault="00587E6E" w:rsidP="00BD2AE1">
            <w:pPr>
              <w:rPr>
                <w:sz w:val="20"/>
                <w:szCs w:val="20"/>
              </w:rPr>
            </w:pPr>
            <w:r w:rsidRPr="00016305">
              <w:rPr>
                <w:sz w:val="20"/>
                <w:szCs w:val="20"/>
              </w:rPr>
              <w:t>5.</w:t>
            </w:r>
          </w:p>
        </w:tc>
        <w:tc>
          <w:tcPr>
            <w:tcW w:w="2693" w:type="dxa"/>
            <w:shd w:val="clear" w:color="auto" w:fill="auto"/>
          </w:tcPr>
          <w:p w14:paraId="3701A57F" w14:textId="77777777" w:rsidR="00587E6E" w:rsidRPr="00605A83" w:rsidRDefault="00587E6E" w:rsidP="0066202C">
            <w:pPr>
              <w:rPr>
                <w:sz w:val="20"/>
                <w:szCs w:val="20"/>
              </w:rPr>
            </w:pPr>
            <w:r w:rsidRPr="00605A83">
              <w:rPr>
                <w:sz w:val="20"/>
                <w:szCs w:val="20"/>
              </w:rPr>
              <w:t xml:space="preserve">Fraud risk recommendations agreed for implementation </w:t>
            </w:r>
          </w:p>
          <w:p w14:paraId="5536B8E6" w14:textId="77777777" w:rsidR="00587E6E" w:rsidRPr="00605A83" w:rsidRDefault="00587E6E" w:rsidP="0066202C">
            <w:pPr>
              <w:rPr>
                <w:sz w:val="20"/>
                <w:szCs w:val="20"/>
              </w:rPr>
            </w:pPr>
          </w:p>
        </w:tc>
        <w:tc>
          <w:tcPr>
            <w:tcW w:w="1134" w:type="dxa"/>
            <w:shd w:val="clear" w:color="auto" w:fill="auto"/>
          </w:tcPr>
          <w:p w14:paraId="2F603F80" w14:textId="02BA01B5" w:rsidR="00587E6E" w:rsidRPr="00605A83" w:rsidRDefault="00587E6E" w:rsidP="00BD2AE1">
            <w:pPr>
              <w:rPr>
                <w:sz w:val="20"/>
                <w:szCs w:val="20"/>
              </w:rPr>
            </w:pPr>
            <w:r w:rsidRPr="00605A83">
              <w:rPr>
                <w:sz w:val="20"/>
                <w:szCs w:val="20"/>
              </w:rPr>
              <w:t>8</w:t>
            </w:r>
            <w:r w:rsidR="00EF3648" w:rsidRPr="00605A83">
              <w:rPr>
                <w:sz w:val="20"/>
                <w:szCs w:val="20"/>
              </w:rPr>
              <w:t>5</w:t>
            </w:r>
            <w:r w:rsidRPr="00605A83">
              <w:rPr>
                <w:sz w:val="20"/>
                <w:szCs w:val="20"/>
              </w:rPr>
              <w:t>%</w:t>
            </w:r>
          </w:p>
        </w:tc>
        <w:tc>
          <w:tcPr>
            <w:tcW w:w="1163" w:type="dxa"/>
            <w:tcBorders>
              <w:bottom w:val="single" w:sz="4" w:space="0" w:color="auto"/>
            </w:tcBorders>
            <w:shd w:val="clear" w:color="auto" w:fill="FFFFFF"/>
          </w:tcPr>
          <w:p w14:paraId="1A70D337" w14:textId="4376FC83" w:rsidR="00587E6E" w:rsidRPr="00605A83" w:rsidRDefault="00587E6E" w:rsidP="007320CB">
            <w:pPr>
              <w:rPr>
                <w:sz w:val="20"/>
                <w:szCs w:val="20"/>
              </w:rPr>
            </w:pPr>
            <w:r w:rsidRPr="00605A83">
              <w:rPr>
                <w:sz w:val="20"/>
                <w:szCs w:val="20"/>
              </w:rPr>
              <w:t>100% (</w:t>
            </w:r>
            <w:r w:rsidR="003514D6" w:rsidRPr="00605A83">
              <w:rPr>
                <w:sz w:val="20"/>
                <w:szCs w:val="20"/>
              </w:rPr>
              <w:t>12/12</w:t>
            </w:r>
            <w:r w:rsidRPr="00605A83">
              <w:rPr>
                <w:sz w:val="20"/>
                <w:szCs w:val="20"/>
              </w:rPr>
              <w:t>)</w:t>
            </w:r>
          </w:p>
          <w:p w14:paraId="7563A3EB" w14:textId="77777777" w:rsidR="00587E6E" w:rsidRPr="00605A83" w:rsidRDefault="00587E6E" w:rsidP="00BD2AE1">
            <w:pPr>
              <w:rPr>
                <w:sz w:val="20"/>
                <w:szCs w:val="20"/>
              </w:rPr>
            </w:pPr>
          </w:p>
        </w:tc>
        <w:tc>
          <w:tcPr>
            <w:tcW w:w="4366" w:type="dxa"/>
            <w:tcBorders>
              <w:bottom w:val="single" w:sz="4" w:space="0" w:color="auto"/>
            </w:tcBorders>
            <w:shd w:val="clear" w:color="auto" w:fill="FFFFFF"/>
          </w:tcPr>
          <w:p w14:paraId="0A945E64" w14:textId="5754BD2E" w:rsidR="00587E6E" w:rsidRPr="00605A83" w:rsidRDefault="00587E6E" w:rsidP="007320CB">
            <w:pPr>
              <w:rPr>
                <w:b/>
                <w:sz w:val="20"/>
                <w:szCs w:val="20"/>
              </w:rPr>
            </w:pPr>
            <w:r w:rsidRPr="00605A83">
              <w:rPr>
                <w:b/>
                <w:sz w:val="20"/>
                <w:szCs w:val="20"/>
              </w:rPr>
              <w:t>Achiev</w:t>
            </w:r>
            <w:r w:rsidR="003514D6" w:rsidRPr="00605A83">
              <w:rPr>
                <w:b/>
                <w:sz w:val="20"/>
                <w:szCs w:val="20"/>
              </w:rPr>
              <w:t>ed</w:t>
            </w:r>
            <w:r w:rsidRPr="00605A83">
              <w:rPr>
                <w:b/>
                <w:sz w:val="20"/>
                <w:szCs w:val="20"/>
              </w:rPr>
              <w:t xml:space="preserve"> </w:t>
            </w:r>
          </w:p>
          <w:p w14:paraId="2EC74A60" w14:textId="4BCCC3D7" w:rsidR="00587E6E" w:rsidRDefault="00587E6E" w:rsidP="007320CB">
            <w:pPr>
              <w:rPr>
                <w:sz w:val="20"/>
                <w:szCs w:val="20"/>
              </w:rPr>
            </w:pPr>
            <w:r w:rsidRPr="00605A83">
              <w:rPr>
                <w:sz w:val="20"/>
                <w:szCs w:val="20"/>
              </w:rPr>
              <w:t>Of the</w:t>
            </w:r>
            <w:r w:rsidR="003C757D" w:rsidRPr="00605A83">
              <w:rPr>
                <w:sz w:val="20"/>
                <w:szCs w:val="20"/>
              </w:rPr>
              <w:t xml:space="preserve"> 20</w:t>
            </w:r>
            <w:r w:rsidRPr="00605A83">
              <w:rPr>
                <w:sz w:val="20"/>
                <w:szCs w:val="20"/>
              </w:rPr>
              <w:t xml:space="preserve"> fraud risk recommendations made by the team in reports and briefing notes, </w:t>
            </w:r>
            <w:r w:rsidR="003C757D" w:rsidRPr="00605A83">
              <w:rPr>
                <w:sz w:val="20"/>
                <w:szCs w:val="20"/>
              </w:rPr>
              <w:t>20</w:t>
            </w:r>
            <w:r w:rsidRPr="00605A83">
              <w:rPr>
                <w:sz w:val="20"/>
                <w:szCs w:val="20"/>
              </w:rPr>
              <w:t xml:space="preserve"> (100%) were agreed for implementation by management</w:t>
            </w:r>
            <w:r w:rsidR="00935475">
              <w:rPr>
                <w:sz w:val="20"/>
                <w:szCs w:val="20"/>
              </w:rPr>
              <w:t>.</w:t>
            </w:r>
          </w:p>
          <w:p w14:paraId="78F5EB15" w14:textId="3E7F2550" w:rsidR="007A41C8" w:rsidRPr="00605A83" w:rsidRDefault="007A41C8" w:rsidP="007320CB">
            <w:pPr>
              <w:rPr>
                <w:b/>
                <w:sz w:val="20"/>
                <w:szCs w:val="20"/>
              </w:rPr>
            </w:pPr>
          </w:p>
        </w:tc>
      </w:tr>
    </w:tbl>
    <w:p w14:paraId="2E81FAB7" w14:textId="77777777" w:rsidR="00D93810" w:rsidRDefault="00D93810" w:rsidP="006E5133">
      <w:pPr>
        <w:ind w:firstLine="644"/>
        <w:rPr>
          <w:b/>
        </w:rPr>
      </w:pPr>
    </w:p>
    <w:p w14:paraId="4B7C11F3" w14:textId="77777777" w:rsidR="006D26DF" w:rsidRDefault="006D26DF" w:rsidP="00E97022"/>
    <w:p w14:paraId="71C97E73" w14:textId="77777777" w:rsidR="00587E6E" w:rsidRDefault="00587E6E" w:rsidP="00E97022"/>
    <w:p w14:paraId="5A05068D" w14:textId="77777777" w:rsidR="00587E6E" w:rsidRDefault="00587E6E" w:rsidP="00E97022"/>
    <w:p w14:paraId="0DD923F8" w14:textId="77777777" w:rsidR="00587E6E" w:rsidRDefault="00587E6E" w:rsidP="00E97022"/>
    <w:p w14:paraId="5E45A547" w14:textId="77777777" w:rsidR="00587E6E" w:rsidRDefault="00587E6E" w:rsidP="00E97022"/>
    <w:p w14:paraId="30E279DF" w14:textId="77777777" w:rsidR="00587E6E" w:rsidRDefault="00587E6E" w:rsidP="00E97022"/>
    <w:p w14:paraId="7B6A3B1F" w14:textId="5345B2EB" w:rsidR="00587E6E" w:rsidRDefault="00587E6E" w:rsidP="00E97022"/>
    <w:p w14:paraId="33EDC03B" w14:textId="77777777" w:rsidR="00FF5536" w:rsidRDefault="00FF5536" w:rsidP="00E97022"/>
    <w:p w14:paraId="356B0FAB" w14:textId="77777777" w:rsidR="00587E6E" w:rsidRDefault="00587E6E" w:rsidP="00E97022"/>
    <w:p w14:paraId="6744F341" w14:textId="77777777" w:rsidR="009D080F" w:rsidRDefault="009D080F" w:rsidP="009E6E8E">
      <w:pPr>
        <w:shd w:val="clear" w:color="auto" w:fill="17365D"/>
        <w:ind w:left="-142"/>
        <w:rPr>
          <w:rFonts w:eastAsia="Calibri"/>
          <w:b/>
          <w:sz w:val="40"/>
          <w:szCs w:val="40"/>
        </w:rPr>
      </w:pPr>
    </w:p>
    <w:p w14:paraId="5B34E02D" w14:textId="77777777" w:rsidR="00C0282A" w:rsidRPr="009E6E8E" w:rsidRDefault="00C0282A" w:rsidP="009E6E8E">
      <w:pPr>
        <w:shd w:val="clear" w:color="auto" w:fill="17365D"/>
        <w:ind w:left="-142"/>
        <w:rPr>
          <w:rFonts w:eastAsia="Calibri"/>
          <w:b/>
          <w:sz w:val="40"/>
          <w:szCs w:val="40"/>
        </w:rPr>
      </w:pPr>
      <w:r>
        <w:rPr>
          <w:rFonts w:eastAsia="Calibri"/>
          <w:b/>
          <w:sz w:val="40"/>
          <w:szCs w:val="40"/>
        </w:rPr>
        <w:t>Fraud re</w:t>
      </w:r>
      <w:r w:rsidR="00505743">
        <w:rPr>
          <w:rFonts w:eastAsia="Calibri"/>
          <w:b/>
          <w:sz w:val="40"/>
          <w:szCs w:val="40"/>
        </w:rPr>
        <w:t xml:space="preserve">ferrals, </w:t>
      </w:r>
      <w:proofErr w:type="gramStart"/>
      <w:r w:rsidR="00505743">
        <w:rPr>
          <w:rFonts w:eastAsia="Calibri"/>
          <w:b/>
          <w:sz w:val="40"/>
          <w:szCs w:val="40"/>
        </w:rPr>
        <w:t>outputs</w:t>
      </w:r>
      <w:proofErr w:type="gramEnd"/>
      <w:r w:rsidR="009E6E8E">
        <w:rPr>
          <w:rFonts w:eastAsia="Calibri"/>
          <w:b/>
          <w:sz w:val="40"/>
          <w:szCs w:val="40"/>
        </w:rPr>
        <w:t xml:space="preserve"> and savings summary</w:t>
      </w:r>
    </w:p>
    <w:tbl>
      <w:tblPr>
        <w:tblpPr w:leftFromText="180" w:rightFromText="180" w:vertAnchor="page" w:horzAnchor="margin" w:tblpY="22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200FB2" w14:paraId="5CF1F0E3" w14:textId="57FCA8AB" w:rsidTr="00200FB2">
        <w:trPr>
          <w:trHeight w:val="827"/>
        </w:trPr>
        <w:tc>
          <w:tcPr>
            <w:tcW w:w="4957" w:type="dxa"/>
            <w:shd w:val="clear" w:color="auto" w:fill="D9D9D9"/>
          </w:tcPr>
          <w:p w14:paraId="1688F6D7" w14:textId="77777777" w:rsidR="00200FB2" w:rsidRPr="004E23DA" w:rsidRDefault="00200FB2" w:rsidP="005A5058">
            <w:pPr>
              <w:jc w:val="center"/>
              <w:rPr>
                <w:b/>
              </w:rPr>
            </w:pPr>
            <w:r w:rsidRPr="004E23DA">
              <w:rPr>
                <w:b/>
              </w:rPr>
              <w:t>Fraud Risk Area</w:t>
            </w:r>
          </w:p>
        </w:tc>
        <w:tc>
          <w:tcPr>
            <w:tcW w:w="4961" w:type="dxa"/>
            <w:shd w:val="clear" w:color="auto" w:fill="D9D9D9"/>
          </w:tcPr>
          <w:p w14:paraId="12DF8675" w14:textId="533BC141" w:rsidR="00200FB2" w:rsidRDefault="00034572" w:rsidP="005A5058">
            <w:pPr>
              <w:jc w:val="center"/>
              <w:rPr>
                <w:b/>
              </w:rPr>
            </w:pPr>
            <w:r>
              <w:rPr>
                <w:b/>
              </w:rPr>
              <w:t>2021-22</w:t>
            </w:r>
          </w:p>
        </w:tc>
      </w:tr>
      <w:tr w:rsidR="00200FB2" w14:paraId="36C4953E" w14:textId="24360448" w:rsidTr="00200FB2">
        <w:trPr>
          <w:trHeight w:val="436"/>
        </w:trPr>
        <w:tc>
          <w:tcPr>
            <w:tcW w:w="4957" w:type="dxa"/>
            <w:shd w:val="clear" w:color="auto" w:fill="auto"/>
          </w:tcPr>
          <w:p w14:paraId="48B3193F" w14:textId="77777777" w:rsidR="00200FB2" w:rsidRPr="004E23DA" w:rsidRDefault="00200FB2" w:rsidP="005A5058">
            <w:pPr>
              <w:rPr>
                <w:b/>
              </w:rPr>
            </w:pPr>
            <w:r w:rsidRPr="004E23DA">
              <w:rPr>
                <w:b/>
              </w:rPr>
              <w:t>Housing application fraud</w:t>
            </w:r>
          </w:p>
          <w:p w14:paraId="19DC5098" w14:textId="77777777" w:rsidR="00200FB2" w:rsidRDefault="00200FB2" w:rsidP="005A5058">
            <w:r>
              <w:t>Referrals</w:t>
            </w:r>
          </w:p>
          <w:p w14:paraId="340C8E5E" w14:textId="6C88CA73" w:rsidR="00200FB2" w:rsidRDefault="00200FB2" w:rsidP="005A5058">
            <w:r>
              <w:t>Positive out</w:t>
            </w:r>
            <w:r w:rsidR="00452773">
              <w:t>comes</w:t>
            </w:r>
          </w:p>
          <w:p w14:paraId="60BE79FF" w14:textId="35A9E24A" w:rsidR="00200FB2" w:rsidRDefault="00975B12" w:rsidP="005A5058">
            <w:r>
              <w:t>Loss/Loss avoidance</w:t>
            </w:r>
          </w:p>
          <w:p w14:paraId="065B2147" w14:textId="77777777" w:rsidR="00200FB2" w:rsidRPr="003155F7" w:rsidRDefault="00200FB2" w:rsidP="005A5058"/>
        </w:tc>
        <w:tc>
          <w:tcPr>
            <w:tcW w:w="4961" w:type="dxa"/>
          </w:tcPr>
          <w:p w14:paraId="41CE8734" w14:textId="77777777" w:rsidR="00200FB2" w:rsidRDefault="00200FB2" w:rsidP="005A5058"/>
          <w:p w14:paraId="079844BF" w14:textId="77777777" w:rsidR="00034572" w:rsidRDefault="00034572" w:rsidP="00034572">
            <w:r>
              <w:t>6</w:t>
            </w:r>
          </w:p>
          <w:p w14:paraId="77920AAE" w14:textId="77777777" w:rsidR="00034572" w:rsidRDefault="00034572" w:rsidP="00034572">
            <w:r>
              <w:t>1</w:t>
            </w:r>
          </w:p>
          <w:p w14:paraId="474F0676" w14:textId="38B0B75D" w:rsidR="00034572" w:rsidRDefault="00034572" w:rsidP="00034572">
            <w:r>
              <w:t xml:space="preserve">£7,176 </w:t>
            </w:r>
            <w:r w:rsidRPr="00AD0C46">
              <w:rPr>
                <w:sz w:val="16"/>
                <w:szCs w:val="16"/>
              </w:rPr>
              <w:t>(1 housing application denied)</w:t>
            </w:r>
          </w:p>
        </w:tc>
      </w:tr>
      <w:tr w:rsidR="00200FB2" w14:paraId="33A58032" w14:textId="3DB7C192" w:rsidTr="00200FB2">
        <w:trPr>
          <w:trHeight w:val="414"/>
        </w:trPr>
        <w:tc>
          <w:tcPr>
            <w:tcW w:w="4957" w:type="dxa"/>
            <w:shd w:val="clear" w:color="auto" w:fill="auto"/>
          </w:tcPr>
          <w:p w14:paraId="2E9E2A77" w14:textId="77777777" w:rsidR="00200FB2" w:rsidRPr="004E23DA" w:rsidRDefault="00200FB2" w:rsidP="005A5058">
            <w:pPr>
              <w:rPr>
                <w:b/>
              </w:rPr>
            </w:pPr>
            <w:r w:rsidRPr="004E23DA">
              <w:rPr>
                <w:b/>
              </w:rPr>
              <w:t>Blue badge</w:t>
            </w:r>
          </w:p>
          <w:p w14:paraId="04CFE0E4" w14:textId="77777777" w:rsidR="00200FB2" w:rsidRDefault="00200FB2" w:rsidP="005A5058">
            <w:r>
              <w:t>Referrals</w:t>
            </w:r>
          </w:p>
          <w:p w14:paraId="35F32D25" w14:textId="57B4D02E" w:rsidR="00200FB2" w:rsidRDefault="00200FB2" w:rsidP="005A5058">
            <w:r>
              <w:t>Positive out</w:t>
            </w:r>
            <w:r w:rsidR="00452773">
              <w:t>comes</w:t>
            </w:r>
          </w:p>
          <w:p w14:paraId="4D17C59F" w14:textId="0115F9FF" w:rsidR="00200FB2" w:rsidRDefault="0021738B" w:rsidP="005A5058">
            <w:r>
              <w:t>Loss/loss avoidance</w:t>
            </w:r>
          </w:p>
          <w:p w14:paraId="24055528" w14:textId="77777777" w:rsidR="00200FB2" w:rsidRPr="003155F7" w:rsidRDefault="00200FB2" w:rsidP="005A5058"/>
        </w:tc>
        <w:tc>
          <w:tcPr>
            <w:tcW w:w="4961" w:type="dxa"/>
          </w:tcPr>
          <w:p w14:paraId="6138271F" w14:textId="77777777" w:rsidR="00200FB2" w:rsidRDefault="00200FB2" w:rsidP="005A5058"/>
          <w:p w14:paraId="4241C680" w14:textId="77777777" w:rsidR="00034572" w:rsidRDefault="00034572" w:rsidP="00034572">
            <w:pPr>
              <w:rPr>
                <w:sz w:val="22"/>
                <w:szCs w:val="22"/>
              </w:rPr>
            </w:pPr>
            <w:r>
              <w:rPr>
                <w:sz w:val="22"/>
                <w:szCs w:val="22"/>
              </w:rPr>
              <w:t>7</w:t>
            </w:r>
          </w:p>
          <w:p w14:paraId="7068E81A" w14:textId="77777777" w:rsidR="00034572" w:rsidRDefault="00034572" w:rsidP="00034572">
            <w:pPr>
              <w:rPr>
                <w:sz w:val="22"/>
                <w:szCs w:val="22"/>
              </w:rPr>
            </w:pPr>
            <w:r>
              <w:rPr>
                <w:sz w:val="22"/>
                <w:szCs w:val="22"/>
              </w:rPr>
              <w:t>0</w:t>
            </w:r>
          </w:p>
          <w:p w14:paraId="4D89DCAC" w14:textId="039D11DA" w:rsidR="00034572" w:rsidRDefault="00034572" w:rsidP="00034572">
            <w:r>
              <w:rPr>
                <w:sz w:val="22"/>
                <w:szCs w:val="22"/>
              </w:rPr>
              <w:t>£0</w:t>
            </w:r>
          </w:p>
        </w:tc>
      </w:tr>
      <w:tr w:rsidR="00200FB2" w14:paraId="31102FCB" w14:textId="3CE39C22" w:rsidTr="00200FB2">
        <w:trPr>
          <w:trHeight w:val="414"/>
        </w:trPr>
        <w:tc>
          <w:tcPr>
            <w:tcW w:w="4957" w:type="dxa"/>
            <w:shd w:val="clear" w:color="auto" w:fill="auto"/>
          </w:tcPr>
          <w:p w14:paraId="6F33D42E" w14:textId="77777777" w:rsidR="00200FB2" w:rsidRPr="004E23DA" w:rsidRDefault="00200FB2" w:rsidP="005A5058">
            <w:pPr>
              <w:rPr>
                <w:b/>
              </w:rPr>
            </w:pPr>
            <w:r w:rsidRPr="004E23DA">
              <w:rPr>
                <w:b/>
              </w:rPr>
              <w:t>Fraud other</w:t>
            </w:r>
          </w:p>
          <w:p w14:paraId="325FE505" w14:textId="77777777" w:rsidR="00200FB2" w:rsidRDefault="00200FB2" w:rsidP="005A5058">
            <w:r>
              <w:t>Referrals</w:t>
            </w:r>
          </w:p>
          <w:p w14:paraId="23E1B17B" w14:textId="31920774" w:rsidR="00200FB2" w:rsidRDefault="00200FB2" w:rsidP="005A5058">
            <w:r>
              <w:t>Positive out</w:t>
            </w:r>
            <w:r w:rsidR="00452773">
              <w:t>comes</w:t>
            </w:r>
          </w:p>
          <w:p w14:paraId="24628C29" w14:textId="691C7081" w:rsidR="00200FB2" w:rsidRDefault="0021738B" w:rsidP="005A5058">
            <w:r>
              <w:t>Loss/loss avoidance</w:t>
            </w:r>
          </w:p>
          <w:p w14:paraId="73A7B784" w14:textId="77777777" w:rsidR="00200FB2" w:rsidRPr="003155F7" w:rsidRDefault="00200FB2" w:rsidP="005A5058"/>
        </w:tc>
        <w:tc>
          <w:tcPr>
            <w:tcW w:w="4961" w:type="dxa"/>
          </w:tcPr>
          <w:p w14:paraId="7EAD1DC4" w14:textId="77777777" w:rsidR="00200FB2" w:rsidRDefault="00200FB2" w:rsidP="005A5058"/>
          <w:p w14:paraId="525BE3D6" w14:textId="77777777" w:rsidR="00034572" w:rsidRDefault="00034572" w:rsidP="00034572">
            <w:r>
              <w:t>5</w:t>
            </w:r>
          </w:p>
          <w:p w14:paraId="2A40577E" w14:textId="77777777" w:rsidR="00034572" w:rsidRDefault="00034572" w:rsidP="00034572">
            <w:r>
              <w:t>0</w:t>
            </w:r>
          </w:p>
          <w:p w14:paraId="02E9A28A" w14:textId="016952F2" w:rsidR="00034572" w:rsidRDefault="00034572" w:rsidP="00034572">
            <w:r>
              <w:t>£0</w:t>
            </w:r>
          </w:p>
        </w:tc>
      </w:tr>
      <w:tr w:rsidR="00200FB2" w14:paraId="10878EB6" w14:textId="5600DD52" w:rsidTr="00200FB2">
        <w:trPr>
          <w:trHeight w:val="414"/>
        </w:trPr>
        <w:tc>
          <w:tcPr>
            <w:tcW w:w="4957" w:type="dxa"/>
            <w:shd w:val="clear" w:color="auto" w:fill="auto"/>
          </w:tcPr>
          <w:p w14:paraId="15CBC80A" w14:textId="1F53480A" w:rsidR="00200FB2" w:rsidRPr="004E23DA" w:rsidRDefault="00200FB2" w:rsidP="005A5058">
            <w:pPr>
              <w:rPr>
                <w:b/>
              </w:rPr>
            </w:pPr>
            <w:r w:rsidRPr="004E23DA">
              <w:rPr>
                <w:b/>
              </w:rPr>
              <w:t>Revenues/CT/CTRS/HB</w:t>
            </w:r>
            <w:r w:rsidR="00034572">
              <w:rPr>
                <w:b/>
              </w:rPr>
              <w:t>/Grants</w:t>
            </w:r>
          </w:p>
          <w:p w14:paraId="45C5D317" w14:textId="77777777" w:rsidR="00200FB2" w:rsidRDefault="00200FB2" w:rsidP="005A5058">
            <w:r>
              <w:t>Referrals</w:t>
            </w:r>
          </w:p>
          <w:p w14:paraId="514000AE" w14:textId="469666B9" w:rsidR="00200FB2" w:rsidRDefault="00200FB2" w:rsidP="005A5058">
            <w:r>
              <w:t>Positive out</w:t>
            </w:r>
            <w:r w:rsidR="00452773">
              <w:t>comes</w:t>
            </w:r>
          </w:p>
          <w:p w14:paraId="1F66FF8F" w14:textId="34C6188B" w:rsidR="00200FB2" w:rsidRDefault="003D192D" w:rsidP="005A5058">
            <w:r>
              <w:t>Loss/loss avoidance</w:t>
            </w:r>
          </w:p>
          <w:p w14:paraId="4D66DD73" w14:textId="77777777" w:rsidR="00200FB2" w:rsidRPr="003155F7" w:rsidRDefault="00200FB2" w:rsidP="005A5058"/>
        </w:tc>
        <w:tc>
          <w:tcPr>
            <w:tcW w:w="4961" w:type="dxa"/>
          </w:tcPr>
          <w:p w14:paraId="7428BC49" w14:textId="77777777" w:rsidR="00200FB2" w:rsidRDefault="00200FB2" w:rsidP="005A5058"/>
          <w:p w14:paraId="59CC202C" w14:textId="77777777" w:rsidR="00034572" w:rsidRDefault="00034572" w:rsidP="00034572">
            <w:r>
              <w:t>13</w:t>
            </w:r>
          </w:p>
          <w:p w14:paraId="06FB284E" w14:textId="77777777" w:rsidR="00034572" w:rsidRDefault="00034572" w:rsidP="00034572">
            <w:r>
              <w:t>4</w:t>
            </w:r>
          </w:p>
          <w:p w14:paraId="7A376F66" w14:textId="6C45F686" w:rsidR="00034572" w:rsidRDefault="00034572" w:rsidP="00034572">
            <w:r>
              <w:t xml:space="preserve">£48,134.51 </w:t>
            </w:r>
            <w:r w:rsidRPr="00BB4D74">
              <w:rPr>
                <w:sz w:val="16"/>
                <w:szCs w:val="16"/>
              </w:rPr>
              <w:t>(1 Single Person Discount overpayment, 1 Council Tax Reduction Support overpayment</w:t>
            </w:r>
            <w:r>
              <w:rPr>
                <w:sz w:val="16"/>
                <w:szCs w:val="16"/>
              </w:rPr>
              <w:t>,</w:t>
            </w:r>
            <w:r w:rsidRPr="00BB4D74">
              <w:rPr>
                <w:sz w:val="16"/>
                <w:szCs w:val="16"/>
              </w:rPr>
              <w:t xml:space="preserve"> 1 HB overpayment</w:t>
            </w:r>
            <w:r>
              <w:rPr>
                <w:sz w:val="16"/>
                <w:szCs w:val="16"/>
              </w:rPr>
              <w:t xml:space="preserve"> and 1 covid grant overpayment</w:t>
            </w:r>
            <w:r w:rsidRPr="00BB4D74">
              <w:rPr>
                <w:sz w:val="16"/>
                <w:szCs w:val="16"/>
              </w:rPr>
              <w:t>)</w:t>
            </w:r>
          </w:p>
        </w:tc>
      </w:tr>
      <w:tr w:rsidR="00200FB2" w14:paraId="0982953F" w14:textId="3BB98960" w:rsidTr="00200FB2">
        <w:trPr>
          <w:trHeight w:val="414"/>
        </w:trPr>
        <w:tc>
          <w:tcPr>
            <w:tcW w:w="4957" w:type="dxa"/>
            <w:shd w:val="clear" w:color="auto" w:fill="auto"/>
          </w:tcPr>
          <w:p w14:paraId="3B7A8A6C" w14:textId="77823B8A" w:rsidR="00200FB2" w:rsidRPr="004E23DA" w:rsidRDefault="00200FB2" w:rsidP="005A5058">
            <w:pPr>
              <w:rPr>
                <w:b/>
              </w:rPr>
            </w:pPr>
            <w:r w:rsidRPr="004E23DA">
              <w:rPr>
                <w:b/>
              </w:rPr>
              <w:t>Internal</w:t>
            </w:r>
            <w:r w:rsidR="00034572">
              <w:rPr>
                <w:b/>
              </w:rPr>
              <w:t>/Employee</w:t>
            </w:r>
          </w:p>
          <w:p w14:paraId="671D34D0" w14:textId="77777777" w:rsidR="00200FB2" w:rsidRPr="009D572F" w:rsidRDefault="00200FB2" w:rsidP="005A5058">
            <w:r w:rsidRPr="009D572F">
              <w:t>Referrals</w:t>
            </w:r>
          </w:p>
          <w:p w14:paraId="667FF8C3" w14:textId="57A4C237" w:rsidR="00200FB2" w:rsidRPr="009D572F" w:rsidRDefault="00200FB2" w:rsidP="005A5058">
            <w:r>
              <w:t>Positive ou</w:t>
            </w:r>
            <w:r w:rsidR="00452773">
              <w:t>tcomes</w:t>
            </w:r>
          </w:p>
          <w:p w14:paraId="56772B94" w14:textId="725ED0B8" w:rsidR="00200FB2" w:rsidRPr="009D572F" w:rsidRDefault="003D192D" w:rsidP="005A5058">
            <w:r>
              <w:t>Loss/loss avoidance</w:t>
            </w:r>
          </w:p>
          <w:p w14:paraId="34CFA555" w14:textId="77777777" w:rsidR="00200FB2" w:rsidRPr="009D572F" w:rsidRDefault="00200FB2" w:rsidP="005A5058"/>
        </w:tc>
        <w:tc>
          <w:tcPr>
            <w:tcW w:w="4961" w:type="dxa"/>
          </w:tcPr>
          <w:p w14:paraId="1EDDA50C" w14:textId="77777777" w:rsidR="00200FB2" w:rsidRDefault="00200FB2" w:rsidP="005A5058"/>
          <w:p w14:paraId="38118810" w14:textId="77777777" w:rsidR="00034572" w:rsidRDefault="00034572" w:rsidP="00034572">
            <w:pPr>
              <w:rPr>
                <w:sz w:val="22"/>
                <w:szCs w:val="22"/>
              </w:rPr>
            </w:pPr>
            <w:r>
              <w:rPr>
                <w:sz w:val="22"/>
                <w:szCs w:val="22"/>
              </w:rPr>
              <w:t>12</w:t>
            </w:r>
          </w:p>
          <w:p w14:paraId="139DAB53" w14:textId="77777777" w:rsidR="00034572" w:rsidRDefault="00034572" w:rsidP="00034572">
            <w:pPr>
              <w:rPr>
                <w:sz w:val="22"/>
                <w:szCs w:val="22"/>
              </w:rPr>
            </w:pPr>
            <w:r>
              <w:rPr>
                <w:sz w:val="22"/>
                <w:szCs w:val="22"/>
              </w:rPr>
              <w:t>8</w:t>
            </w:r>
          </w:p>
          <w:p w14:paraId="57D80250" w14:textId="22C25D01" w:rsidR="00034572" w:rsidRDefault="00034572" w:rsidP="00034572">
            <w:r>
              <w:rPr>
                <w:sz w:val="22"/>
                <w:szCs w:val="22"/>
              </w:rPr>
              <w:t xml:space="preserve">£130,068.5 </w:t>
            </w:r>
            <w:r w:rsidRPr="00DC1358">
              <w:rPr>
                <w:sz w:val="16"/>
                <w:szCs w:val="16"/>
              </w:rPr>
              <w:t>(1 employee disciplined and 7 employees summarily dismissed for fraud)</w:t>
            </w:r>
          </w:p>
        </w:tc>
      </w:tr>
      <w:tr w:rsidR="00034572" w14:paraId="59190A5C" w14:textId="14DD9A1F" w:rsidTr="00200FB2">
        <w:trPr>
          <w:trHeight w:val="414"/>
        </w:trPr>
        <w:tc>
          <w:tcPr>
            <w:tcW w:w="4957" w:type="dxa"/>
            <w:shd w:val="clear" w:color="auto" w:fill="auto"/>
          </w:tcPr>
          <w:p w14:paraId="71A43A7F" w14:textId="77777777" w:rsidR="00034572" w:rsidRPr="004E23DA" w:rsidRDefault="00034572" w:rsidP="00034572">
            <w:pPr>
              <w:rPr>
                <w:b/>
              </w:rPr>
            </w:pPr>
            <w:r w:rsidRPr="004E23DA">
              <w:rPr>
                <w:b/>
              </w:rPr>
              <w:t>Right to Buy</w:t>
            </w:r>
          </w:p>
          <w:p w14:paraId="44651C34" w14:textId="77777777" w:rsidR="00034572" w:rsidRDefault="00034572" w:rsidP="00034572">
            <w:r>
              <w:t>Referrals</w:t>
            </w:r>
          </w:p>
          <w:p w14:paraId="75F7CE2E" w14:textId="2BBB9DE2" w:rsidR="00034572" w:rsidRDefault="00034572" w:rsidP="00034572">
            <w:r>
              <w:t>Positive out</w:t>
            </w:r>
            <w:r w:rsidR="00452773">
              <w:t xml:space="preserve">comes </w:t>
            </w:r>
          </w:p>
          <w:p w14:paraId="3EADAC01" w14:textId="6B17D83B" w:rsidR="00034572" w:rsidRDefault="00BF5C92" w:rsidP="00034572">
            <w:r>
              <w:t>Loss/loss avoidance</w:t>
            </w:r>
          </w:p>
          <w:p w14:paraId="27AC6E6B" w14:textId="77777777" w:rsidR="00034572" w:rsidRPr="003155F7" w:rsidRDefault="00034572" w:rsidP="00034572"/>
        </w:tc>
        <w:tc>
          <w:tcPr>
            <w:tcW w:w="4961" w:type="dxa"/>
          </w:tcPr>
          <w:p w14:paraId="316675E9" w14:textId="77777777" w:rsidR="00034572" w:rsidRDefault="00034572" w:rsidP="00034572"/>
          <w:p w14:paraId="42C64975" w14:textId="77777777" w:rsidR="00034572" w:rsidRDefault="00034572" w:rsidP="00034572">
            <w:r>
              <w:t>31</w:t>
            </w:r>
          </w:p>
          <w:p w14:paraId="4BFCE7DE" w14:textId="77777777" w:rsidR="00034572" w:rsidRDefault="00034572" w:rsidP="00034572">
            <w:r>
              <w:t>9</w:t>
            </w:r>
          </w:p>
          <w:p w14:paraId="146E4FB0" w14:textId="40580BBC" w:rsidR="00034572" w:rsidRDefault="00034572" w:rsidP="00034572">
            <w:r>
              <w:t xml:space="preserve">£891,310.5 </w:t>
            </w:r>
            <w:r w:rsidRPr="00C24125">
              <w:rPr>
                <w:sz w:val="16"/>
                <w:szCs w:val="16"/>
              </w:rPr>
              <w:t xml:space="preserve">(9 RTB application denied for failing anti money </w:t>
            </w:r>
            <w:r>
              <w:rPr>
                <w:sz w:val="16"/>
                <w:szCs w:val="16"/>
              </w:rPr>
              <w:t>l</w:t>
            </w:r>
            <w:r w:rsidRPr="00C24125">
              <w:rPr>
                <w:sz w:val="16"/>
                <w:szCs w:val="16"/>
              </w:rPr>
              <w:t>aundering checks)</w:t>
            </w:r>
            <w:r>
              <w:t xml:space="preserve"> </w:t>
            </w:r>
          </w:p>
        </w:tc>
      </w:tr>
      <w:tr w:rsidR="00034572" w14:paraId="55046AF0" w14:textId="66F3BDCB" w:rsidTr="00200FB2">
        <w:trPr>
          <w:trHeight w:val="414"/>
        </w:trPr>
        <w:tc>
          <w:tcPr>
            <w:tcW w:w="4957" w:type="dxa"/>
            <w:shd w:val="clear" w:color="auto" w:fill="auto"/>
          </w:tcPr>
          <w:p w14:paraId="30AF4CE8" w14:textId="0C261633" w:rsidR="00034572" w:rsidRPr="004E23DA" w:rsidRDefault="00034572" w:rsidP="00034572">
            <w:pPr>
              <w:rPr>
                <w:b/>
              </w:rPr>
            </w:pPr>
            <w:r>
              <w:rPr>
                <w:b/>
              </w:rPr>
              <w:t>Social care</w:t>
            </w:r>
          </w:p>
          <w:p w14:paraId="50261FD2" w14:textId="77777777" w:rsidR="00034572" w:rsidRDefault="00034572" w:rsidP="00034572">
            <w:r>
              <w:t>Referrals</w:t>
            </w:r>
          </w:p>
          <w:p w14:paraId="619F9653" w14:textId="2CCFA754" w:rsidR="00034572" w:rsidRDefault="00034572" w:rsidP="00034572">
            <w:r>
              <w:t>Positive out</w:t>
            </w:r>
            <w:r w:rsidR="00900F5E">
              <w:t>comes</w:t>
            </w:r>
          </w:p>
          <w:p w14:paraId="4256E297" w14:textId="3EF5128D" w:rsidR="00034572" w:rsidRPr="003155F7" w:rsidRDefault="00BF5C92" w:rsidP="00034572">
            <w:r>
              <w:t>Loss/loss avoidance</w:t>
            </w:r>
          </w:p>
        </w:tc>
        <w:tc>
          <w:tcPr>
            <w:tcW w:w="4961" w:type="dxa"/>
          </w:tcPr>
          <w:p w14:paraId="6726A9E7" w14:textId="77777777" w:rsidR="00034572" w:rsidRDefault="00034572" w:rsidP="00034572"/>
          <w:p w14:paraId="5150FBA0" w14:textId="77777777" w:rsidR="00034572" w:rsidRDefault="00034572" w:rsidP="00034572">
            <w:r>
              <w:t>4</w:t>
            </w:r>
          </w:p>
          <w:p w14:paraId="2AD21ADE" w14:textId="77777777" w:rsidR="00034572" w:rsidRDefault="00034572" w:rsidP="00034572">
            <w:r>
              <w:t>0</w:t>
            </w:r>
          </w:p>
          <w:p w14:paraId="091EF09B" w14:textId="77777777" w:rsidR="00034572" w:rsidRDefault="00034572" w:rsidP="00034572">
            <w:r>
              <w:t>£0</w:t>
            </w:r>
          </w:p>
          <w:p w14:paraId="2FC5110E" w14:textId="2C2E5927" w:rsidR="00BE7EF2" w:rsidRDefault="00BE7EF2" w:rsidP="00034572"/>
        </w:tc>
      </w:tr>
      <w:tr w:rsidR="00034572" w14:paraId="2D98CB81" w14:textId="362C06AD" w:rsidTr="00200FB2">
        <w:trPr>
          <w:trHeight w:val="414"/>
        </w:trPr>
        <w:tc>
          <w:tcPr>
            <w:tcW w:w="4957" w:type="dxa"/>
            <w:shd w:val="clear" w:color="auto" w:fill="auto"/>
          </w:tcPr>
          <w:p w14:paraId="258766E2" w14:textId="77777777" w:rsidR="00034572" w:rsidRPr="004E23DA" w:rsidRDefault="00034572" w:rsidP="00034572">
            <w:pPr>
              <w:rPr>
                <w:b/>
              </w:rPr>
            </w:pPr>
            <w:r w:rsidRPr="004E23DA">
              <w:rPr>
                <w:b/>
              </w:rPr>
              <w:t>Tenancy</w:t>
            </w:r>
          </w:p>
          <w:p w14:paraId="5682C2F1" w14:textId="77777777" w:rsidR="00034572" w:rsidRDefault="00034572" w:rsidP="00034572">
            <w:r>
              <w:t>Referrals</w:t>
            </w:r>
          </w:p>
          <w:p w14:paraId="717D8565" w14:textId="2B0EB4E5" w:rsidR="00034572" w:rsidRDefault="00034572" w:rsidP="00034572">
            <w:r>
              <w:t>Positive out</w:t>
            </w:r>
            <w:r w:rsidR="00900F5E">
              <w:t>comes</w:t>
            </w:r>
          </w:p>
          <w:p w14:paraId="77735878" w14:textId="5AEA09C3" w:rsidR="00034572" w:rsidRDefault="00BF5C92" w:rsidP="00034572">
            <w:r>
              <w:t>Loss/</w:t>
            </w:r>
            <w:r w:rsidR="009F3C06">
              <w:t>loss avoidance</w:t>
            </w:r>
          </w:p>
          <w:p w14:paraId="1F15D946" w14:textId="77777777" w:rsidR="00034572" w:rsidRPr="003155F7" w:rsidRDefault="00034572" w:rsidP="00034572"/>
        </w:tc>
        <w:tc>
          <w:tcPr>
            <w:tcW w:w="4961" w:type="dxa"/>
          </w:tcPr>
          <w:p w14:paraId="18937DD9" w14:textId="77777777" w:rsidR="00034572" w:rsidRDefault="00034572" w:rsidP="00034572"/>
          <w:p w14:paraId="6D4FA042" w14:textId="77777777" w:rsidR="00034572" w:rsidRDefault="00034572" w:rsidP="00034572">
            <w:r>
              <w:t>28</w:t>
            </w:r>
          </w:p>
          <w:p w14:paraId="22C3E72F" w14:textId="77777777" w:rsidR="00034572" w:rsidRDefault="00034572" w:rsidP="00034572">
            <w:r>
              <w:t>4</w:t>
            </w:r>
          </w:p>
          <w:p w14:paraId="5F9DDA22" w14:textId="77777777" w:rsidR="00034572" w:rsidRDefault="00034572" w:rsidP="00034572">
            <w:pPr>
              <w:rPr>
                <w:sz w:val="16"/>
                <w:szCs w:val="16"/>
              </w:rPr>
            </w:pPr>
            <w:r>
              <w:t xml:space="preserve">£372,000 </w:t>
            </w:r>
            <w:r w:rsidRPr="00DF756E">
              <w:rPr>
                <w:sz w:val="16"/>
                <w:szCs w:val="16"/>
              </w:rPr>
              <w:t>(2 council tenancies and 2 housing association tenancies recovered)</w:t>
            </w:r>
          </w:p>
          <w:p w14:paraId="61DF6101" w14:textId="77777777" w:rsidR="00BE7EF2" w:rsidRDefault="00BE7EF2" w:rsidP="00034572">
            <w:pPr>
              <w:rPr>
                <w:sz w:val="16"/>
                <w:szCs w:val="16"/>
              </w:rPr>
            </w:pPr>
          </w:p>
          <w:p w14:paraId="5208E45A" w14:textId="45C64204" w:rsidR="00BE7EF2" w:rsidRDefault="00BE7EF2" w:rsidP="00034572"/>
        </w:tc>
      </w:tr>
      <w:tr w:rsidR="00384EF1" w14:paraId="06DEFA03" w14:textId="77777777" w:rsidTr="00200FB2">
        <w:trPr>
          <w:trHeight w:val="414"/>
        </w:trPr>
        <w:tc>
          <w:tcPr>
            <w:tcW w:w="4957" w:type="dxa"/>
            <w:shd w:val="clear" w:color="auto" w:fill="auto"/>
          </w:tcPr>
          <w:p w14:paraId="05E702D2" w14:textId="6CB744AF" w:rsidR="00384EF1" w:rsidRPr="00CC741E" w:rsidRDefault="00384EF1" w:rsidP="00034572">
            <w:pPr>
              <w:rPr>
                <w:b/>
                <w:sz w:val="16"/>
                <w:szCs w:val="16"/>
              </w:rPr>
            </w:pPr>
            <w:r>
              <w:rPr>
                <w:b/>
              </w:rPr>
              <w:lastRenderedPageBreak/>
              <w:t>NFI</w:t>
            </w:r>
            <w:r w:rsidR="00900F5E">
              <w:rPr>
                <w:b/>
              </w:rPr>
              <w:t xml:space="preserve"> exercise</w:t>
            </w:r>
            <w:r w:rsidR="00F545B6">
              <w:rPr>
                <w:b/>
              </w:rPr>
              <w:t xml:space="preserve"> 2020</w:t>
            </w:r>
            <w:r w:rsidR="00E3450F">
              <w:rPr>
                <w:b/>
              </w:rPr>
              <w:t>-21</w:t>
            </w:r>
            <w:r w:rsidR="00EB639C">
              <w:rPr>
                <w:b/>
              </w:rPr>
              <w:t xml:space="preserve"> </w:t>
            </w:r>
            <w:r w:rsidR="00EB639C" w:rsidRPr="00CC741E">
              <w:rPr>
                <w:b/>
                <w:sz w:val="16"/>
                <w:szCs w:val="16"/>
              </w:rPr>
              <w:t>(</w:t>
            </w:r>
            <w:r w:rsidR="00CC741E" w:rsidRPr="00CC741E">
              <w:rPr>
                <w:b/>
                <w:sz w:val="16"/>
                <w:szCs w:val="16"/>
              </w:rPr>
              <w:t xml:space="preserve">processing </w:t>
            </w:r>
            <w:r w:rsidR="004B1A4D">
              <w:rPr>
                <w:b/>
                <w:sz w:val="16"/>
                <w:szCs w:val="16"/>
              </w:rPr>
              <w:t xml:space="preserve">matches </w:t>
            </w:r>
            <w:r w:rsidR="00CC741E" w:rsidRPr="00CC741E">
              <w:rPr>
                <w:b/>
                <w:sz w:val="16"/>
                <w:szCs w:val="16"/>
              </w:rPr>
              <w:t xml:space="preserve">undertaken </w:t>
            </w:r>
            <w:r w:rsidR="00E3450F">
              <w:rPr>
                <w:b/>
                <w:sz w:val="16"/>
                <w:szCs w:val="16"/>
              </w:rPr>
              <w:t xml:space="preserve">across multiple services </w:t>
            </w:r>
            <w:proofErr w:type="spellStart"/>
            <w:r w:rsidR="00E3450F">
              <w:rPr>
                <w:b/>
                <w:sz w:val="16"/>
                <w:szCs w:val="16"/>
              </w:rPr>
              <w:t>inc</w:t>
            </w:r>
            <w:proofErr w:type="spellEnd"/>
            <w:r w:rsidR="00E3450F">
              <w:rPr>
                <w:b/>
                <w:sz w:val="16"/>
                <w:szCs w:val="16"/>
              </w:rPr>
              <w:t xml:space="preserve"> CAFT</w:t>
            </w:r>
            <w:r w:rsidR="00CC741E" w:rsidRPr="00CC741E">
              <w:rPr>
                <w:b/>
                <w:sz w:val="16"/>
                <w:szCs w:val="16"/>
              </w:rPr>
              <w:t>)</w:t>
            </w:r>
          </w:p>
          <w:p w14:paraId="6FEE03FE" w14:textId="77777777" w:rsidR="00384EF1" w:rsidRPr="00900F5E" w:rsidRDefault="00452773" w:rsidP="00034572">
            <w:pPr>
              <w:rPr>
                <w:bCs/>
              </w:rPr>
            </w:pPr>
            <w:r w:rsidRPr="00900F5E">
              <w:rPr>
                <w:bCs/>
              </w:rPr>
              <w:t>Positive outcomes</w:t>
            </w:r>
          </w:p>
          <w:p w14:paraId="635E64C9" w14:textId="5B38E029" w:rsidR="00900F5E" w:rsidRPr="00900F5E" w:rsidRDefault="009F3C06" w:rsidP="00034572">
            <w:pPr>
              <w:rPr>
                <w:bCs/>
              </w:rPr>
            </w:pPr>
            <w:r>
              <w:rPr>
                <w:bCs/>
              </w:rPr>
              <w:t>Loss/loss avoidance</w:t>
            </w:r>
          </w:p>
          <w:p w14:paraId="726EF905" w14:textId="79B65817" w:rsidR="00900F5E" w:rsidRPr="004E23DA" w:rsidRDefault="00900F5E" w:rsidP="00034572">
            <w:pPr>
              <w:rPr>
                <w:b/>
              </w:rPr>
            </w:pPr>
          </w:p>
        </w:tc>
        <w:tc>
          <w:tcPr>
            <w:tcW w:w="4961" w:type="dxa"/>
          </w:tcPr>
          <w:p w14:paraId="51EB176C" w14:textId="77777777" w:rsidR="00384EF1" w:rsidRDefault="00384EF1" w:rsidP="00034572"/>
          <w:p w14:paraId="144C2739" w14:textId="77777777" w:rsidR="00E3450F" w:rsidRDefault="00E3450F" w:rsidP="00034572"/>
          <w:p w14:paraId="63AA1A70" w14:textId="119B0C36" w:rsidR="001172E0" w:rsidRDefault="005A2141" w:rsidP="001172E0">
            <w:r>
              <w:t>18</w:t>
            </w:r>
            <w:r w:rsidR="00EF372B">
              <w:t>6</w:t>
            </w:r>
            <w:r w:rsidR="004B1A4D">
              <w:t xml:space="preserve"> </w:t>
            </w:r>
          </w:p>
          <w:p w14:paraId="47BA257C" w14:textId="6753C671" w:rsidR="00F15431" w:rsidRPr="00F15431" w:rsidRDefault="007A1129" w:rsidP="00F15431">
            <w:pPr>
              <w:rPr>
                <w:color w:val="FF0000"/>
              </w:rPr>
            </w:pPr>
            <w:r>
              <w:t>£</w:t>
            </w:r>
            <w:r w:rsidR="00E07FEE">
              <w:t>984,280</w:t>
            </w:r>
            <w:r w:rsidR="00E07FEE" w:rsidRPr="00BC65B6">
              <w:t>.01</w:t>
            </w:r>
            <w:r w:rsidR="001172E0" w:rsidRPr="00BC65B6">
              <w:t xml:space="preserve"> </w:t>
            </w:r>
          </w:p>
          <w:p w14:paraId="265430C0" w14:textId="4B3CD745" w:rsidR="005A2141" w:rsidRDefault="005A2141" w:rsidP="001172E0"/>
        </w:tc>
      </w:tr>
      <w:tr w:rsidR="00034572" w14:paraId="60399FCC" w14:textId="3A2D31CE" w:rsidTr="00200FB2">
        <w:trPr>
          <w:trHeight w:val="436"/>
        </w:trPr>
        <w:tc>
          <w:tcPr>
            <w:tcW w:w="4957" w:type="dxa"/>
            <w:shd w:val="clear" w:color="auto" w:fill="auto"/>
          </w:tcPr>
          <w:p w14:paraId="59C3E323" w14:textId="77777777" w:rsidR="00034572" w:rsidRPr="004E23DA" w:rsidRDefault="00034572" w:rsidP="00034572">
            <w:pPr>
              <w:rPr>
                <w:b/>
              </w:rPr>
            </w:pPr>
            <w:r w:rsidRPr="004E23DA">
              <w:rPr>
                <w:b/>
              </w:rPr>
              <w:t>Totals</w:t>
            </w:r>
          </w:p>
          <w:p w14:paraId="4AED964C" w14:textId="77777777" w:rsidR="00034572" w:rsidRPr="004E23DA" w:rsidRDefault="00034572" w:rsidP="00034572">
            <w:pPr>
              <w:rPr>
                <w:b/>
              </w:rPr>
            </w:pPr>
          </w:p>
          <w:p w14:paraId="17ABC09F" w14:textId="77777777" w:rsidR="00034572" w:rsidRPr="004E23DA" w:rsidRDefault="00034572" w:rsidP="00034572">
            <w:pPr>
              <w:rPr>
                <w:b/>
              </w:rPr>
            </w:pPr>
            <w:r w:rsidRPr="004E23DA">
              <w:rPr>
                <w:b/>
              </w:rPr>
              <w:t>Referrals</w:t>
            </w:r>
          </w:p>
          <w:p w14:paraId="33095387" w14:textId="3C2D2C96" w:rsidR="00034572" w:rsidRPr="004E23DA" w:rsidRDefault="00034572" w:rsidP="00034572">
            <w:pPr>
              <w:rPr>
                <w:b/>
              </w:rPr>
            </w:pPr>
            <w:r>
              <w:rPr>
                <w:b/>
              </w:rPr>
              <w:t>Positive out</w:t>
            </w:r>
            <w:r w:rsidR="00975B12">
              <w:rPr>
                <w:b/>
              </w:rPr>
              <w:t>comes</w:t>
            </w:r>
          </w:p>
          <w:p w14:paraId="63DA9B49" w14:textId="4AED2DA5" w:rsidR="00034572" w:rsidRDefault="0043140E" w:rsidP="00034572">
            <w:pPr>
              <w:rPr>
                <w:b/>
              </w:rPr>
            </w:pPr>
            <w:r>
              <w:rPr>
                <w:b/>
              </w:rPr>
              <w:t>Loss/loss avoidance</w:t>
            </w:r>
          </w:p>
          <w:p w14:paraId="07D62BA0" w14:textId="7A61C58E" w:rsidR="00CC741E" w:rsidRPr="004E23DA" w:rsidRDefault="00CC741E" w:rsidP="00034572">
            <w:pPr>
              <w:rPr>
                <w:b/>
              </w:rPr>
            </w:pPr>
          </w:p>
        </w:tc>
        <w:tc>
          <w:tcPr>
            <w:tcW w:w="4961" w:type="dxa"/>
          </w:tcPr>
          <w:p w14:paraId="63839327" w14:textId="49B11E54" w:rsidR="00034572" w:rsidRDefault="00034572" w:rsidP="00034572">
            <w:pPr>
              <w:rPr>
                <w:b/>
              </w:rPr>
            </w:pPr>
          </w:p>
          <w:p w14:paraId="2AE54A38" w14:textId="395D07AF" w:rsidR="00034572" w:rsidRDefault="00034572" w:rsidP="00034572">
            <w:pPr>
              <w:rPr>
                <w:b/>
              </w:rPr>
            </w:pPr>
          </w:p>
          <w:p w14:paraId="32D54288" w14:textId="00FDACAE" w:rsidR="00034572" w:rsidRDefault="00034572" w:rsidP="00034572">
            <w:pPr>
              <w:rPr>
                <w:b/>
              </w:rPr>
            </w:pPr>
            <w:r>
              <w:rPr>
                <w:b/>
              </w:rPr>
              <w:t>106</w:t>
            </w:r>
            <w:r w:rsidR="00955CB9">
              <w:rPr>
                <w:b/>
              </w:rPr>
              <w:t xml:space="preserve"> </w:t>
            </w:r>
            <w:r w:rsidR="000A144E">
              <w:rPr>
                <w:b/>
              </w:rPr>
              <w:t xml:space="preserve">referrals + </w:t>
            </w:r>
            <w:r w:rsidR="00955CB9">
              <w:rPr>
                <w:b/>
              </w:rPr>
              <w:t>18</w:t>
            </w:r>
            <w:r w:rsidR="008A0389">
              <w:rPr>
                <w:b/>
              </w:rPr>
              <w:t>6</w:t>
            </w:r>
            <w:r w:rsidR="00955CB9">
              <w:rPr>
                <w:b/>
              </w:rPr>
              <w:t xml:space="preserve"> NFI cases</w:t>
            </w:r>
          </w:p>
          <w:p w14:paraId="3A662237" w14:textId="1EBCD14C" w:rsidR="00034572" w:rsidRDefault="00B81EE3" w:rsidP="00034572">
            <w:pPr>
              <w:rPr>
                <w:b/>
              </w:rPr>
            </w:pPr>
            <w:r>
              <w:rPr>
                <w:b/>
              </w:rPr>
              <w:t>2</w:t>
            </w:r>
            <w:r w:rsidR="008A0389">
              <w:rPr>
                <w:b/>
              </w:rPr>
              <w:t>92</w:t>
            </w:r>
          </w:p>
          <w:p w14:paraId="72DC6EE5" w14:textId="6699C047" w:rsidR="00034572" w:rsidRPr="00F545B6" w:rsidRDefault="00034572" w:rsidP="00F545B6">
            <w:pPr>
              <w:rPr>
                <w:b/>
              </w:rPr>
            </w:pPr>
            <w:r>
              <w:rPr>
                <w:b/>
              </w:rPr>
              <w:t>£</w:t>
            </w:r>
            <w:r w:rsidR="00B81EE3">
              <w:rPr>
                <w:b/>
              </w:rPr>
              <w:t>2,563,</w:t>
            </w:r>
            <w:r w:rsidR="008F2A98">
              <w:rPr>
                <w:b/>
              </w:rPr>
              <w:t>038.02</w:t>
            </w:r>
          </w:p>
        </w:tc>
      </w:tr>
    </w:tbl>
    <w:p w14:paraId="1DB440A2" w14:textId="77777777" w:rsidR="00BC4DED" w:rsidRDefault="00BC4DED" w:rsidP="00C0282A">
      <w:pPr>
        <w:rPr>
          <w:b/>
        </w:rPr>
      </w:pPr>
    </w:p>
    <w:p w14:paraId="60EAF120" w14:textId="77777777" w:rsidR="00FC6923" w:rsidRDefault="00FC6923" w:rsidP="00C0282A">
      <w:pPr>
        <w:rPr>
          <w:b/>
        </w:rPr>
      </w:pPr>
    </w:p>
    <w:p w14:paraId="1E2D6EDE" w14:textId="08989BFE" w:rsidR="00C0282A" w:rsidRPr="0081702B" w:rsidRDefault="00E0020F" w:rsidP="00C0282A">
      <w:pPr>
        <w:rPr>
          <w:b/>
        </w:rPr>
      </w:pPr>
      <w:r>
        <w:rPr>
          <w:b/>
        </w:rPr>
        <w:t>20</w:t>
      </w:r>
      <w:r w:rsidR="00F57C9D">
        <w:rPr>
          <w:b/>
        </w:rPr>
        <w:t>2</w:t>
      </w:r>
      <w:r w:rsidR="00034572">
        <w:rPr>
          <w:b/>
        </w:rPr>
        <w:t>1</w:t>
      </w:r>
      <w:r>
        <w:rPr>
          <w:b/>
        </w:rPr>
        <w:t>-</w:t>
      </w:r>
      <w:r w:rsidR="00C0043F">
        <w:rPr>
          <w:b/>
        </w:rPr>
        <w:t>2</w:t>
      </w:r>
      <w:r w:rsidR="00034572">
        <w:rPr>
          <w:b/>
        </w:rPr>
        <w:t>2</w:t>
      </w:r>
      <w:r w:rsidR="00C0043F">
        <w:rPr>
          <w:b/>
        </w:rPr>
        <w:t xml:space="preserve"> </w:t>
      </w:r>
      <w:r w:rsidR="000C5DC2">
        <w:rPr>
          <w:b/>
        </w:rPr>
        <w:t xml:space="preserve">Year-End </w:t>
      </w:r>
      <w:r w:rsidR="00C0043F">
        <w:rPr>
          <w:b/>
        </w:rPr>
        <w:t xml:space="preserve">Financial </w:t>
      </w:r>
      <w:r w:rsidR="00C0282A" w:rsidRPr="0081702B">
        <w:rPr>
          <w:b/>
        </w:rPr>
        <w:t>Summary</w:t>
      </w:r>
    </w:p>
    <w:p w14:paraId="5002EE33" w14:textId="77777777" w:rsidR="00C0282A" w:rsidRDefault="00C0282A" w:rsidP="00C0282A"/>
    <w:p w14:paraId="4F496BD4" w14:textId="20AADC20" w:rsidR="00034572" w:rsidRDefault="00034572" w:rsidP="00034572">
      <w:r>
        <w:t>The l</w:t>
      </w:r>
      <w:r w:rsidRPr="0081702B">
        <w:t xml:space="preserve">evel of fraud and corruption identified </w:t>
      </w:r>
      <w:r>
        <w:t>impacting the authority for 2021-22 amounts to £</w:t>
      </w:r>
      <w:r w:rsidR="004B1A20">
        <w:t>2</w:t>
      </w:r>
      <w:r>
        <w:t>,5</w:t>
      </w:r>
      <w:r w:rsidR="004B1A20">
        <w:t>63</w:t>
      </w:r>
      <w:r>
        <w:t>,</w:t>
      </w:r>
      <w:r w:rsidR="004B1A20">
        <w:t>038</w:t>
      </w:r>
      <w:r>
        <w:t>.0</w:t>
      </w:r>
      <w:r w:rsidR="004B1A20">
        <w:t>2</w:t>
      </w:r>
      <w:r>
        <w:t xml:space="preserve"> which represents </w:t>
      </w:r>
      <w:r w:rsidRPr="0081702B">
        <w:t>an approximate return</w:t>
      </w:r>
      <w:r>
        <w:t xml:space="preserve"> on investment for the team’s running costs of just over </w:t>
      </w:r>
      <w:r w:rsidR="004B1A20">
        <w:t>10</w:t>
      </w:r>
      <w:r>
        <w:t xml:space="preserve">:1 </w:t>
      </w:r>
    </w:p>
    <w:p w14:paraId="4EBA7EE7" w14:textId="77777777" w:rsidR="00034572" w:rsidRDefault="00034572" w:rsidP="00034572"/>
    <w:p w14:paraId="0A158DE5" w14:textId="77777777" w:rsidR="00AC1DE1" w:rsidRDefault="00AC1DE1" w:rsidP="002C54A1">
      <w:pPr>
        <w:rPr>
          <w:b/>
        </w:rPr>
      </w:pPr>
    </w:p>
    <w:p w14:paraId="77F1326D" w14:textId="77777777" w:rsidR="00AC1DE1" w:rsidRDefault="00AC1DE1" w:rsidP="002C54A1">
      <w:pPr>
        <w:rPr>
          <w:b/>
        </w:rPr>
      </w:pPr>
    </w:p>
    <w:p w14:paraId="7B286E30" w14:textId="77777777" w:rsidR="00AC1DE1" w:rsidRDefault="00AC1DE1" w:rsidP="002C54A1">
      <w:pPr>
        <w:rPr>
          <w:b/>
        </w:rPr>
      </w:pPr>
    </w:p>
    <w:sectPr w:rsidR="00AC1DE1" w:rsidSect="00D545B4">
      <w:headerReference w:type="default" r:id="rId8"/>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73C4" w14:textId="77777777" w:rsidR="00F33026" w:rsidRDefault="00F33026">
      <w:r>
        <w:separator/>
      </w:r>
    </w:p>
  </w:endnote>
  <w:endnote w:type="continuationSeparator" w:id="0">
    <w:p w14:paraId="7FFC92BC" w14:textId="77777777" w:rsidR="00F33026" w:rsidRDefault="00F3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201C" w14:textId="77777777" w:rsidR="00F33026" w:rsidRDefault="00F33026">
      <w:r>
        <w:separator/>
      </w:r>
    </w:p>
  </w:footnote>
  <w:footnote w:type="continuationSeparator" w:id="0">
    <w:p w14:paraId="3AF27F87" w14:textId="77777777" w:rsidR="00F33026" w:rsidRDefault="00F3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ECF7" w14:textId="33681261" w:rsidR="00C42335" w:rsidRDefault="00C42335">
    <w:pPr>
      <w:pStyle w:val="Header"/>
    </w:pPr>
    <w:r>
      <w:rPr>
        <w:noProof/>
        <w:lang w:val="en-US"/>
      </w:rPr>
      <mc:AlternateContent>
        <mc:Choice Requires="wps">
          <w:drawing>
            <wp:anchor distT="0" distB="0" distL="114300" distR="114300" simplePos="0" relativeHeight="251657728" behindDoc="0" locked="0" layoutInCell="1" allowOverlap="1" wp14:anchorId="39F39722" wp14:editId="67E410DE">
              <wp:simplePos x="0" y="0"/>
              <wp:positionH relativeFrom="column">
                <wp:posOffset>186055</wp:posOffset>
              </wp:positionH>
              <wp:positionV relativeFrom="paragraph">
                <wp:posOffset>4209415</wp:posOffset>
              </wp:positionV>
              <wp:extent cx="6177280" cy="130683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15800">
                        <a:off x="0" y="0"/>
                        <a:ext cx="6177280" cy="1306830"/>
                      </a:xfrm>
                      <a:prstGeom prst="rect">
                        <a:avLst/>
                      </a:prstGeom>
                      <a:extLst>
                        <a:ext uri="{AF507438-7753-43E0-B8FC-AC1667EBCBE1}">
                          <a14:hiddenEffects xmlns:a14="http://schemas.microsoft.com/office/drawing/2010/main">
                            <a:effectLst/>
                          </a14:hiddenEffects>
                        </a:ext>
                      </a:extLst>
                    </wps:spPr>
                    <wps:txbx>
                      <w:txbxContent>
                        <w:p w14:paraId="0DC51287" w14:textId="77777777" w:rsidR="00C42335" w:rsidRDefault="00C42335" w:rsidP="00E25A38">
                          <w:pPr>
                            <w:jc w:val="cente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F39722" id="_x0000_t202" coordsize="21600,21600" o:spt="202" path="m,l,21600r21600,l21600,xe">
              <v:stroke joinstyle="miter"/>
              <v:path gradientshapeok="t" o:connecttype="rect"/>
            </v:shapetype>
            <v:shape id="WordArt 1" o:spid="_x0000_s1026" type="#_x0000_t202" style="position:absolute;margin-left:14.65pt;margin-top:331.45pt;width:486.4pt;height:102.9pt;rotation:-242024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" filled="f" stroked="f">
              <o:lock v:ext="edit" shapetype="t"/>
              <v:textbox style="mso-fit-shape-to-text:t">
                <w:txbxContent>
                  <w:p w14:paraId="0DC51287" w14:textId="77777777" w:rsidR="00C42335" w:rsidRDefault="00C42335" w:rsidP="00E25A38">
                    <w:pPr>
                      <w:jc w:val="cente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8D3"/>
    <w:multiLevelType w:val="hybridMultilevel"/>
    <w:tmpl w:val="69FA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1785B"/>
    <w:multiLevelType w:val="hybridMultilevel"/>
    <w:tmpl w:val="2ACC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357E6"/>
    <w:multiLevelType w:val="hybridMultilevel"/>
    <w:tmpl w:val="15F8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D31FB"/>
    <w:multiLevelType w:val="hybridMultilevel"/>
    <w:tmpl w:val="E0F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67018"/>
    <w:multiLevelType w:val="hybridMultilevel"/>
    <w:tmpl w:val="6AD0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8E2F14"/>
    <w:multiLevelType w:val="hybridMultilevel"/>
    <w:tmpl w:val="9C1ED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867C59"/>
    <w:multiLevelType w:val="hybridMultilevel"/>
    <w:tmpl w:val="4FD4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85310"/>
    <w:multiLevelType w:val="hybridMultilevel"/>
    <w:tmpl w:val="ADCABC2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8" w15:restartNumberingAfterBreak="0">
    <w:nsid w:val="56BA52E8"/>
    <w:multiLevelType w:val="hybridMultilevel"/>
    <w:tmpl w:val="B3C8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E2CA7"/>
    <w:multiLevelType w:val="hybridMultilevel"/>
    <w:tmpl w:val="9AD8F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9D23B2"/>
    <w:multiLevelType w:val="hybridMultilevel"/>
    <w:tmpl w:val="09D6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77622"/>
    <w:multiLevelType w:val="hybridMultilevel"/>
    <w:tmpl w:val="46E65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5"/>
  </w:num>
  <w:num w:numId="5">
    <w:abstractNumId w:val="2"/>
  </w:num>
  <w:num w:numId="6">
    <w:abstractNumId w:val="4"/>
  </w:num>
  <w:num w:numId="7">
    <w:abstractNumId w:val="9"/>
  </w:num>
  <w:num w:numId="8">
    <w:abstractNumId w:val="3"/>
  </w:num>
  <w:num w:numId="9">
    <w:abstractNumId w:val="11"/>
  </w:num>
  <w:num w:numId="10">
    <w:abstractNumId w:val="8"/>
  </w:num>
  <w:num w:numId="11">
    <w:abstractNumId w:val="6"/>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4D"/>
    <w:rsid w:val="00000F9D"/>
    <w:rsid w:val="000024FE"/>
    <w:rsid w:val="00002569"/>
    <w:rsid w:val="000031C4"/>
    <w:rsid w:val="00004896"/>
    <w:rsid w:val="00004B67"/>
    <w:rsid w:val="00005B7E"/>
    <w:rsid w:val="0000763C"/>
    <w:rsid w:val="00007A7D"/>
    <w:rsid w:val="00010B51"/>
    <w:rsid w:val="0001158A"/>
    <w:rsid w:val="00013023"/>
    <w:rsid w:val="00013AE8"/>
    <w:rsid w:val="0001487B"/>
    <w:rsid w:val="00016305"/>
    <w:rsid w:val="00017F41"/>
    <w:rsid w:val="00020748"/>
    <w:rsid w:val="00020D99"/>
    <w:rsid w:val="0002240A"/>
    <w:rsid w:val="0002481D"/>
    <w:rsid w:val="0002495F"/>
    <w:rsid w:val="00024C15"/>
    <w:rsid w:val="00025785"/>
    <w:rsid w:val="00030519"/>
    <w:rsid w:val="00030A45"/>
    <w:rsid w:val="00030B70"/>
    <w:rsid w:val="00031C2D"/>
    <w:rsid w:val="000328BD"/>
    <w:rsid w:val="00034572"/>
    <w:rsid w:val="00036A52"/>
    <w:rsid w:val="0004203A"/>
    <w:rsid w:val="0004289B"/>
    <w:rsid w:val="00042F1F"/>
    <w:rsid w:val="000434F0"/>
    <w:rsid w:val="000509B0"/>
    <w:rsid w:val="00052ACE"/>
    <w:rsid w:val="00052E3C"/>
    <w:rsid w:val="000542B9"/>
    <w:rsid w:val="00056D11"/>
    <w:rsid w:val="000636A8"/>
    <w:rsid w:val="00064D43"/>
    <w:rsid w:val="00067E03"/>
    <w:rsid w:val="000717A7"/>
    <w:rsid w:val="000723C6"/>
    <w:rsid w:val="00072F6D"/>
    <w:rsid w:val="00073A41"/>
    <w:rsid w:val="00076CB7"/>
    <w:rsid w:val="00076F29"/>
    <w:rsid w:val="00077799"/>
    <w:rsid w:val="00082737"/>
    <w:rsid w:val="000829D1"/>
    <w:rsid w:val="00082C45"/>
    <w:rsid w:val="0008552E"/>
    <w:rsid w:val="00086D40"/>
    <w:rsid w:val="00092773"/>
    <w:rsid w:val="00094000"/>
    <w:rsid w:val="00094793"/>
    <w:rsid w:val="00095791"/>
    <w:rsid w:val="0009648F"/>
    <w:rsid w:val="00096665"/>
    <w:rsid w:val="000A144E"/>
    <w:rsid w:val="000A1CD2"/>
    <w:rsid w:val="000A2603"/>
    <w:rsid w:val="000A31C1"/>
    <w:rsid w:val="000A3A34"/>
    <w:rsid w:val="000A49DC"/>
    <w:rsid w:val="000A4BFA"/>
    <w:rsid w:val="000A5264"/>
    <w:rsid w:val="000A54C5"/>
    <w:rsid w:val="000A6702"/>
    <w:rsid w:val="000A7318"/>
    <w:rsid w:val="000A7D21"/>
    <w:rsid w:val="000B0A4A"/>
    <w:rsid w:val="000B1A87"/>
    <w:rsid w:val="000B207E"/>
    <w:rsid w:val="000B3DFF"/>
    <w:rsid w:val="000B491F"/>
    <w:rsid w:val="000B4BAE"/>
    <w:rsid w:val="000B51E3"/>
    <w:rsid w:val="000B55AE"/>
    <w:rsid w:val="000B5C8A"/>
    <w:rsid w:val="000B7EB0"/>
    <w:rsid w:val="000C23B2"/>
    <w:rsid w:val="000C3872"/>
    <w:rsid w:val="000C3AB1"/>
    <w:rsid w:val="000C3E43"/>
    <w:rsid w:val="000C4109"/>
    <w:rsid w:val="000C458B"/>
    <w:rsid w:val="000C4B49"/>
    <w:rsid w:val="000C512C"/>
    <w:rsid w:val="000C5A67"/>
    <w:rsid w:val="000C5DC2"/>
    <w:rsid w:val="000D2518"/>
    <w:rsid w:val="000D2BE2"/>
    <w:rsid w:val="000D2C36"/>
    <w:rsid w:val="000D2E64"/>
    <w:rsid w:val="000E006D"/>
    <w:rsid w:val="000E00F7"/>
    <w:rsid w:val="000E3A61"/>
    <w:rsid w:val="000E3CBF"/>
    <w:rsid w:val="000E50DC"/>
    <w:rsid w:val="000E71C2"/>
    <w:rsid w:val="000E7402"/>
    <w:rsid w:val="000E7AF0"/>
    <w:rsid w:val="000F01F3"/>
    <w:rsid w:val="000F09BA"/>
    <w:rsid w:val="000F145E"/>
    <w:rsid w:val="000F2DD3"/>
    <w:rsid w:val="000F7209"/>
    <w:rsid w:val="000F731A"/>
    <w:rsid w:val="000F7817"/>
    <w:rsid w:val="00100E3B"/>
    <w:rsid w:val="00101B6C"/>
    <w:rsid w:val="00106716"/>
    <w:rsid w:val="001073C2"/>
    <w:rsid w:val="00111028"/>
    <w:rsid w:val="00112413"/>
    <w:rsid w:val="00115430"/>
    <w:rsid w:val="00115D92"/>
    <w:rsid w:val="00116821"/>
    <w:rsid w:val="001172E0"/>
    <w:rsid w:val="00120E4D"/>
    <w:rsid w:val="0012186B"/>
    <w:rsid w:val="00124C1C"/>
    <w:rsid w:val="00125009"/>
    <w:rsid w:val="00126207"/>
    <w:rsid w:val="00126855"/>
    <w:rsid w:val="0012783D"/>
    <w:rsid w:val="00130E81"/>
    <w:rsid w:val="0013361D"/>
    <w:rsid w:val="00135004"/>
    <w:rsid w:val="00137CBD"/>
    <w:rsid w:val="0014148F"/>
    <w:rsid w:val="00142DBE"/>
    <w:rsid w:val="00143918"/>
    <w:rsid w:val="00145CB9"/>
    <w:rsid w:val="00145FD8"/>
    <w:rsid w:val="00147B79"/>
    <w:rsid w:val="00147C71"/>
    <w:rsid w:val="0015246E"/>
    <w:rsid w:val="00152A10"/>
    <w:rsid w:val="00153298"/>
    <w:rsid w:val="00157A90"/>
    <w:rsid w:val="00157B3A"/>
    <w:rsid w:val="00165B1A"/>
    <w:rsid w:val="00165D78"/>
    <w:rsid w:val="00165FB8"/>
    <w:rsid w:val="00167AC9"/>
    <w:rsid w:val="00172A3F"/>
    <w:rsid w:val="0017605D"/>
    <w:rsid w:val="00185734"/>
    <w:rsid w:val="0019007C"/>
    <w:rsid w:val="001921E5"/>
    <w:rsid w:val="00195F8B"/>
    <w:rsid w:val="001962B4"/>
    <w:rsid w:val="00196E07"/>
    <w:rsid w:val="001A08C5"/>
    <w:rsid w:val="001A1170"/>
    <w:rsid w:val="001A1505"/>
    <w:rsid w:val="001A16D5"/>
    <w:rsid w:val="001A1F50"/>
    <w:rsid w:val="001A22D8"/>
    <w:rsid w:val="001B3833"/>
    <w:rsid w:val="001B3926"/>
    <w:rsid w:val="001B46F3"/>
    <w:rsid w:val="001B517F"/>
    <w:rsid w:val="001B52C4"/>
    <w:rsid w:val="001B5862"/>
    <w:rsid w:val="001B75A8"/>
    <w:rsid w:val="001C1550"/>
    <w:rsid w:val="001C175A"/>
    <w:rsid w:val="001C4DCA"/>
    <w:rsid w:val="001C6010"/>
    <w:rsid w:val="001D030A"/>
    <w:rsid w:val="001D33F4"/>
    <w:rsid w:val="001D5874"/>
    <w:rsid w:val="001D6A6F"/>
    <w:rsid w:val="001D7ECC"/>
    <w:rsid w:val="001E0720"/>
    <w:rsid w:val="001E116B"/>
    <w:rsid w:val="001E1BDF"/>
    <w:rsid w:val="001E6A26"/>
    <w:rsid w:val="001E7C5E"/>
    <w:rsid w:val="001F30D5"/>
    <w:rsid w:val="001F345F"/>
    <w:rsid w:val="001F55D1"/>
    <w:rsid w:val="00200FB2"/>
    <w:rsid w:val="0020190A"/>
    <w:rsid w:val="00203B8A"/>
    <w:rsid w:val="00204535"/>
    <w:rsid w:val="00205540"/>
    <w:rsid w:val="002071A8"/>
    <w:rsid w:val="002079AC"/>
    <w:rsid w:val="0021291B"/>
    <w:rsid w:val="00213A11"/>
    <w:rsid w:val="00213AAC"/>
    <w:rsid w:val="00214C0D"/>
    <w:rsid w:val="00215451"/>
    <w:rsid w:val="00215D55"/>
    <w:rsid w:val="0021738B"/>
    <w:rsid w:val="0022009A"/>
    <w:rsid w:val="002255C6"/>
    <w:rsid w:val="0023023C"/>
    <w:rsid w:val="00233B06"/>
    <w:rsid w:val="00233C67"/>
    <w:rsid w:val="0023441F"/>
    <w:rsid w:val="00234889"/>
    <w:rsid w:val="00236B65"/>
    <w:rsid w:val="002400C4"/>
    <w:rsid w:val="00241796"/>
    <w:rsid w:val="0024520A"/>
    <w:rsid w:val="00252262"/>
    <w:rsid w:val="00252E5F"/>
    <w:rsid w:val="00255BE3"/>
    <w:rsid w:val="00256925"/>
    <w:rsid w:val="002572C9"/>
    <w:rsid w:val="00260C9D"/>
    <w:rsid w:val="00260DFE"/>
    <w:rsid w:val="00261239"/>
    <w:rsid w:val="00262322"/>
    <w:rsid w:val="00262774"/>
    <w:rsid w:val="00266E1C"/>
    <w:rsid w:val="00266F4E"/>
    <w:rsid w:val="0026702F"/>
    <w:rsid w:val="00276BC0"/>
    <w:rsid w:val="0027797C"/>
    <w:rsid w:val="00277A55"/>
    <w:rsid w:val="00277F60"/>
    <w:rsid w:val="00280654"/>
    <w:rsid w:val="00280FBF"/>
    <w:rsid w:val="00284930"/>
    <w:rsid w:val="00285757"/>
    <w:rsid w:val="0028661E"/>
    <w:rsid w:val="002878DA"/>
    <w:rsid w:val="0029074F"/>
    <w:rsid w:val="002911A5"/>
    <w:rsid w:val="002913D2"/>
    <w:rsid w:val="00292DD2"/>
    <w:rsid w:val="0029417B"/>
    <w:rsid w:val="00294956"/>
    <w:rsid w:val="00294CF9"/>
    <w:rsid w:val="00296E1C"/>
    <w:rsid w:val="002A18DF"/>
    <w:rsid w:val="002A4EE6"/>
    <w:rsid w:val="002B0838"/>
    <w:rsid w:val="002B13A1"/>
    <w:rsid w:val="002C01F6"/>
    <w:rsid w:val="002C0782"/>
    <w:rsid w:val="002C26DD"/>
    <w:rsid w:val="002C2AE0"/>
    <w:rsid w:val="002C54A1"/>
    <w:rsid w:val="002D0165"/>
    <w:rsid w:val="002D2FF8"/>
    <w:rsid w:val="002D380A"/>
    <w:rsid w:val="002D554F"/>
    <w:rsid w:val="002E07B9"/>
    <w:rsid w:val="002E26AD"/>
    <w:rsid w:val="002E3B79"/>
    <w:rsid w:val="002E3D17"/>
    <w:rsid w:val="002E6EFC"/>
    <w:rsid w:val="002E74AB"/>
    <w:rsid w:val="002F0B87"/>
    <w:rsid w:val="002F0C72"/>
    <w:rsid w:val="002F16E9"/>
    <w:rsid w:val="002F2EA6"/>
    <w:rsid w:val="002F46EB"/>
    <w:rsid w:val="002F6B0A"/>
    <w:rsid w:val="002F7167"/>
    <w:rsid w:val="002F783A"/>
    <w:rsid w:val="00301A0D"/>
    <w:rsid w:val="00301B2C"/>
    <w:rsid w:val="00302C2B"/>
    <w:rsid w:val="0030311A"/>
    <w:rsid w:val="00303FF5"/>
    <w:rsid w:val="003072AD"/>
    <w:rsid w:val="0030784E"/>
    <w:rsid w:val="00307950"/>
    <w:rsid w:val="00313433"/>
    <w:rsid w:val="00313F20"/>
    <w:rsid w:val="0031481B"/>
    <w:rsid w:val="00315772"/>
    <w:rsid w:val="00320F84"/>
    <w:rsid w:val="0032406A"/>
    <w:rsid w:val="00325709"/>
    <w:rsid w:val="003326D7"/>
    <w:rsid w:val="0033298F"/>
    <w:rsid w:val="00334E1E"/>
    <w:rsid w:val="00336511"/>
    <w:rsid w:val="00336634"/>
    <w:rsid w:val="00337453"/>
    <w:rsid w:val="00337500"/>
    <w:rsid w:val="0034198E"/>
    <w:rsid w:val="00342C71"/>
    <w:rsid w:val="003432CE"/>
    <w:rsid w:val="003442C2"/>
    <w:rsid w:val="00345DBD"/>
    <w:rsid w:val="0034711C"/>
    <w:rsid w:val="00347F8E"/>
    <w:rsid w:val="00350A28"/>
    <w:rsid w:val="0035136B"/>
    <w:rsid w:val="003514D6"/>
    <w:rsid w:val="003519CF"/>
    <w:rsid w:val="00352718"/>
    <w:rsid w:val="00352746"/>
    <w:rsid w:val="00355074"/>
    <w:rsid w:val="00355BBE"/>
    <w:rsid w:val="00356CC8"/>
    <w:rsid w:val="00356D1F"/>
    <w:rsid w:val="00357C96"/>
    <w:rsid w:val="00357D9C"/>
    <w:rsid w:val="0036087E"/>
    <w:rsid w:val="003615F7"/>
    <w:rsid w:val="0036329D"/>
    <w:rsid w:val="00363668"/>
    <w:rsid w:val="00363AF5"/>
    <w:rsid w:val="00364098"/>
    <w:rsid w:val="00367970"/>
    <w:rsid w:val="003738D4"/>
    <w:rsid w:val="00375499"/>
    <w:rsid w:val="00377E71"/>
    <w:rsid w:val="0038029A"/>
    <w:rsid w:val="00382540"/>
    <w:rsid w:val="0038298B"/>
    <w:rsid w:val="00384EF1"/>
    <w:rsid w:val="00386B67"/>
    <w:rsid w:val="00393DF4"/>
    <w:rsid w:val="00395FFF"/>
    <w:rsid w:val="0039723C"/>
    <w:rsid w:val="00397D5B"/>
    <w:rsid w:val="003A54D6"/>
    <w:rsid w:val="003B1A72"/>
    <w:rsid w:val="003B260B"/>
    <w:rsid w:val="003B2A35"/>
    <w:rsid w:val="003B3C46"/>
    <w:rsid w:val="003B3DE9"/>
    <w:rsid w:val="003B4F93"/>
    <w:rsid w:val="003B614D"/>
    <w:rsid w:val="003B66BD"/>
    <w:rsid w:val="003C347A"/>
    <w:rsid w:val="003C3B2E"/>
    <w:rsid w:val="003C4502"/>
    <w:rsid w:val="003C572F"/>
    <w:rsid w:val="003C6157"/>
    <w:rsid w:val="003C757D"/>
    <w:rsid w:val="003D192D"/>
    <w:rsid w:val="003D204B"/>
    <w:rsid w:val="003D2B99"/>
    <w:rsid w:val="003D2C88"/>
    <w:rsid w:val="003D4183"/>
    <w:rsid w:val="003D6564"/>
    <w:rsid w:val="003D7536"/>
    <w:rsid w:val="003E3F6F"/>
    <w:rsid w:val="003E537F"/>
    <w:rsid w:val="003E5EAD"/>
    <w:rsid w:val="003E74BB"/>
    <w:rsid w:val="003F0667"/>
    <w:rsid w:val="003F11D7"/>
    <w:rsid w:val="003F26C6"/>
    <w:rsid w:val="003F29F7"/>
    <w:rsid w:val="003F2C1E"/>
    <w:rsid w:val="00401F95"/>
    <w:rsid w:val="00404DDF"/>
    <w:rsid w:val="0040514D"/>
    <w:rsid w:val="00405DDD"/>
    <w:rsid w:val="00407BD2"/>
    <w:rsid w:val="00411451"/>
    <w:rsid w:val="00413BB0"/>
    <w:rsid w:val="00414504"/>
    <w:rsid w:val="00414555"/>
    <w:rsid w:val="00414944"/>
    <w:rsid w:val="00415B3C"/>
    <w:rsid w:val="004168E2"/>
    <w:rsid w:val="00420A3F"/>
    <w:rsid w:val="004218E8"/>
    <w:rsid w:val="00422361"/>
    <w:rsid w:val="00423A17"/>
    <w:rsid w:val="00424A1B"/>
    <w:rsid w:val="00424C43"/>
    <w:rsid w:val="004251DA"/>
    <w:rsid w:val="00426BB5"/>
    <w:rsid w:val="004271D9"/>
    <w:rsid w:val="00431029"/>
    <w:rsid w:val="0043140E"/>
    <w:rsid w:val="00432B34"/>
    <w:rsid w:val="00433E32"/>
    <w:rsid w:val="00435CBB"/>
    <w:rsid w:val="00436A29"/>
    <w:rsid w:val="00437EEA"/>
    <w:rsid w:val="004406A3"/>
    <w:rsid w:val="00442392"/>
    <w:rsid w:val="00443154"/>
    <w:rsid w:val="00445F45"/>
    <w:rsid w:val="00450E77"/>
    <w:rsid w:val="00451955"/>
    <w:rsid w:val="00452444"/>
    <w:rsid w:val="00452773"/>
    <w:rsid w:val="00453F4B"/>
    <w:rsid w:val="004547BA"/>
    <w:rsid w:val="00454C92"/>
    <w:rsid w:val="00456664"/>
    <w:rsid w:val="00457BE5"/>
    <w:rsid w:val="00462E8F"/>
    <w:rsid w:val="00463388"/>
    <w:rsid w:val="00463DA9"/>
    <w:rsid w:val="0046633A"/>
    <w:rsid w:val="00470882"/>
    <w:rsid w:val="00473BCD"/>
    <w:rsid w:val="00475A02"/>
    <w:rsid w:val="004767A8"/>
    <w:rsid w:val="00480BD4"/>
    <w:rsid w:val="00481160"/>
    <w:rsid w:val="00481CBB"/>
    <w:rsid w:val="004820DE"/>
    <w:rsid w:val="004838C9"/>
    <w:rsid w:val="004847B8"/>
    <w:rsid w:val="00485B33"/>
    <w:rsid w:val="004864AC"/>
    <w:rsid w:val="004869F5"/>
    <w:rsid w:val="004911B1"/>
    <w:rsid w:val="00492463"/>
    <w:rsid w:val="004952C3"/>
    <w:rsid w:val="004958B0"/>
    <w:rsid w:val="00496ECF"/>
    <w:rsid w:val="004A2059"/>
    <w:rsid w:val="004A581D"/>
    <w:rsid w:val="004A6FA4"/>
    <w:rsid w:val="004B1A20"/>
    <w:rsid w:val="004B1A4D"/>
    <w:rsid w:val="004B3D18"/>
    <w:rsid w:val="004B3D92"/>
    <w:rsid w:val="004B4371"/>
    <w:rsid w:val="004B5E50"/>
    <w:rsid w:val="004B6F77"/>
    <w:rsid w:val="004C2456"/>
    <w:rsid w:val="004C3B83"/>
    <w:rsid w:val="004C44C7"/>
    <w:rsid w:val="004C610D"/>
    <w:rsid w:val="004C6C92"/>
    <w:rsid w:val="004C7241"/>
    <w:rsid w:val="004C736C"/>
    <w:rsid w:val="004C7F27"/>
    <w:rsid w:val="004D01A2"/>
    <w:rsid w:val="004D201A"/>
    <w:rsid w:val="004E0384"/>
    <w:rsid w:val="004E23DA"/>
    <w:rsid w:val="004E2BF0"/>
    <w:rsid w:val="004E3632"/>
    <w:rsid w:val="004E3ED0"/>
    <w:rsid w:val="004F021B"/>
    <w:rsid w:val="004F0B94"/>
    <w:rsid w:val="004F0DD4"/>
    <w:rsid w:val="004F1767"/>
    <w:rsid w:val="004F1B1F"/>
    <w:rsid w:val="004F3AA5"/>
    <w:rsid w:val="004F5F2F"/>
    <w:rsid w:val="004F66D7"/>
    <w:rsid w:val="004F749A"/>
    <w:rsid w:val="0050042B"/>
    <w:rsid w:val="00501268"/>
    <w:rsid w:val="005049DE"/>
    <w:rsid w:val="005050D7"/>
    <w:rsid w:val="00505743"/>
    <w:rsid w:val="005060EE"/>
    <w:rsid w:val="00510B93"/>
    <w:rsid w:val="00510C7C"/>
    <w:rsid w:val="00511F91"/>
    <w:rsid w:val="00512B1A"/>
    <w:rsid w:val="00516D51"/>
    <w:rsid w:val="0052238F"/>
    <w:rsid w:val="00522B46"/>
    <w:rsid w:val="00523EDC"/>
    <w:rsid w:val="005240F7"/>
    <w:rsid w:val="005242AE"/>
    <w:rsid w:val="005244B6"/>
    <w:rsid w:val="005249E5"/>
    <w:rsid w:val="00524DAB"/>
    <w:rsid w:val="005269EB"/>
    <w:rsid w:val="0053046A"/>
    <w:rsid w:val="00532C1A"/>
    <w:rsid w:val="00533120"/>
    <w:rsid w:val="00537C48"/>
    <w:rsid w:val="00540EF7"/>
    <w:rsid w:val="00542758"/>
    <w:rsid w:val="005503B3"/>
    <w:rsid w:val="00553CAE"/>
    <w:rsid w:val="00554FB3"/>
    <w:rsid w:val="00556ACC"/>
    <w:rsid w:val="005610AE"/>
    <w:rsid w:val="00570124"/>
    <w:rsid w:val="00571281"/>
    <w:rsid w:val="00571B4E"/>
    <w:rsid w:val="00573E3E"/>
    <w:rsid w:val="005758A9"/>
    <w:rsid w:val="00576D18"/>
    <w:rsid w:val="00577C25"/>
    <w:rsid w:val="0058041F"/>
    <w:rsid w:val="00583DB3"/>
    <w:rsid w:val="0058675C"/>
    <w:rsid w:val="00586A0D"/>
    <w:rsid w:val="00587E6E"/>
    <w:rsid w:val="00594AA7"/>
    <w:rsid w:val="005968E1"/>
    <w:rsid w:val="0059714C"/>
    <w:rsid w:val="005A2141"/>
    <w:rsid w:val="005A41F8"/>
    <w:rsid w:val="005A5058"/>
    <w:rsid w:val="005A6791"/>
    <w:rsid w:val="005B3FF8"/>
    <w:rsid w:val="005B5FDB"/>
    <w:rsid w:val="005B68F9"/>
    <w:rsid w:val="005B6F6E"/>
    <w:rsid w:val="005C055C"/>
    <w:rsid w:val="005C1670"/>
    <w:rsid w:val="005C3FD9"/>
    <w:rsid w:val="005C5976"/>
    <w:rsid w:val="005C5B07"/>
    <w:rsid w:val="005C5B71"/>
    <w:rsid w:val="005C5F8E"/>
    <w:rsid w:val="005C7DB5"/>
    <w:rsid w:val="005D1054"/>
    <w:rsid w:val="005D2393"/>
    <w:rsid w:val="005D4938"/>
    <w:rsid w:val="005D7D25"/>
    <w:rsid w:val="005E0EF1"/>
    <w:rsid w:val="005E1893"/>
    <w:rsid w:val="005E2505"/>
    <w:rsid w:val="005E4647"/>
    <w:rsid w:val="005E49BB"/>
    <w:rsid w:val="005F2F00"/>
    <w:rsid w:val="005F40E4"/>
    <w:rsid w:val="005F5F67"/>
    <w:rsid w:val="005F7FEC"/>
    <w:rsid w:val="00600A24"/>
    <w:rsid w:val="00605A83"/>
    <w:rsid w:val="0060689F"/>
    <w:rsid w:val="00610F4F"/>
    <w:rsid w:val="00612241"/>
    <w:rsid w:val="006125D3"/>
    <w:rsid w:val="00613B74"/>
    <w:rsid w:val="00614CF5"/>
    <w:rsid w:val="00615CB0"/>
    <w:rsid w:val="00616125"/>
    <w:rsid w:val="006174DD"/>
    <w:rsid w:val="006216F4"/>
    <w:rsid w:val="0062511A"/>
    <w:rsid w:val="0062604C"/>
    <w:rsid w:val="00630194"/>
    <w:rsid w:val="006303E0"/>
    <w:rsid w:val="006310FF"/>
    <w:rsid w:val="006328FB"/>
    <w:rsid w:val="006329E1"/>
    <w:rsid w:val="00632B74"/>
    <w:rsid w:val="00641F68"/>
    <w:rsid w:val="00643094"/>
    <w:rsid w:val="006430DD"/>
    <w:rsid w:val="00644A13"/>
    <w:rsid w:val="00646321"/>
    <w:rsid w:val="006465EE"/>
    <w:rsid w:val="00646827"/>
    <w:rsid w:val="006475D6"/>
    <w:rsid w:val="00650C0D"/>
    <w:rsid w:val="006528F5"/>
    <w:rsid w:val="00653370"/>
    <w:rsid w:val="006534DF"/>
    <w:rsid w:val="0065373C"/>
    <w:rsid w:val="00654642"/>
    <w:rsid w:val="0065612C"/>
    <w:rsid w:val="00656AAF"/>
    <w:rsid w:val="006570B2"/>
    <w:rsid w:val="00661183"/>
    <w:rsid w:val="0066202C"/>
    <w:rsid w:val="00662870"/>
    <w:rsid w:val="00666AA3"/>
    <w:rsid w:val="00667D38"/>
    <w:rsid w:val="006727F5"/>
    <w:rsid w:val="00672FAC"/>
    <w:rsid w:val="006734F4"/>
    <w:rsid w:val="00673C95"/>
    <w:rsid w:val="006747AE"/>
    <w:rsid w:val="00677A41"/>
    <w:rsid w:val="00680886"/>
    <w:rsid w:val="006812F2"/>
    <w:rsid w:val="0068221A"/>
    <w:rsid w:val="006832E0"/>
    <w:rsid w:val="00692F44"/>
    <w:rsid w:val="0069329D"/>
    <w:rsid w:val="0069429C"/>
    <w:rsid w:val="00694780"/>
    <w:rsid w:val="00695FDC"/>
    <w:rsid w:val="00697FD7"/>
    <w:rsid w:val="006A0140"/>
    <w:rsid w:val="006A1295"/>
    <w:rsid w:val="006A5CB2"/>
    <w:rsid w:val="006A60BF"/>
    <w:rsid w:val="006B0B70"/>
    <w:rsid w:val="006C14D4"/>
    <w:rsid w:val="006C2B11"/>
    <w:rsid w:val="006C349F"/>
    <w:rsid w:val="006C3C4A"/>
    <w:rsid w:val="006C564B"/>
    <w:rsid w:val="006C78B0"/>
    <w:rsid w:val="006D01F3"/>
    <w:rsid w:val="006D07E9"/>
    <w:rsid w:val="006D1734"/>
    <w:rsid w:val="006D26DF"/>
    <w:rsid w:val="006D5B97"/>
    <w:rsid w:val="006E47CC"/>
    <w:rsid w:val="006E5133"/>
    <w:rsid w:val="006E5BDA"/>
    <w:rsid w:val="006F0585"/>
    <w:rsid w:val="006F1017"/>
    <w:rsid w:val="006F1BBA"/>
    <w:rsid w:val="006F2223"/>
    <w:rsid w:val="006F4CB5"/>
    <w:rsid w:val="006F67E7"/>
    <w:rsid w:val="006F7B63"/>
    <w:rsid w:val="00705716"/>
    <w:rsid w:val="00705F28"/>
    <w:rsid w:val="00707FEA"/>
    <w:rsid w:val="00711DB1"/>
    <w:rsid w:val="007145E8"/>
    <w:rsid w:val="00715692"/>
    <w:rsid w:val="00724B1A"/>
    <w:rsid w:val="00726313"/>
    <w:rsid w:val="00731366"/>
    <w:rsid w:val="007320CB"/>
    <w:rsid w:val="007324C0"/>
    <w:rsid w:val="00733B91"/>
    <w:rsid w:val="00736115"/>
    <w:rsid w:val="007367A0"/>
    <w:rsid w:val="0074142F"/>
    <w:rsid w:val="00742952"/>
    <w:rsid w:val="0074303C"/>
    <w:rsid w:val="007450F1"/>
    <w:rsid w:val="00745AE7"/>
    <w:rsid w:val="0074787D"/>
    <w:rsid w:val="00751F62"/>
    <w:rsid w:val="007535FF"/>
    <w:rsid w:val="007546A6"/>
    <w:rsid w:val="00755439"/>
    <w:rsid w:val="007572CE"/>
    <w:rsid w:val="00760663"/>
    <w:rsid w:val="00760A15"/>
    <w:rsid w:val="007617D4"/>
    <w:rsid w:val="0076288E"/>
    <w:rsid w:val="00770519"/>
    <w:rsid w:val="00770EF5"/>
    <w:rsid w:val="00776044"/>
    <w:rsid w:val="007816FE"/>
    <w:rsid w:val="00782341"/>
    <w:rsid w:val="00783526"/>
    <w:rsid w:val="007844CD"/>
    <w:rsid w:val="00785532"/>
    <w:rsid w:val="00786DB3"/>
    <w:rsid w:val="007877A0"/>
    <w:rsid w:val="00787E00"/>
    <w:rsid w:val="00791855"/>
    <w:rsid w:val="00793A5F"/>
    <w:rsid w:val="007950DD"/>
    <w:rsid w:val="00796045"/>
    <w:rsid w:val="007A0035"/>
    <w:rsid w:val="007A0F1B"/>
    <w:rsid w:val="007A1129"/>
    <w:rsid w:val="007A1501"/>
    <w:rsid w:val="007A1901"/>
    <w:rsid w:val="007A1912"/>
    <w:rsid w:val="007A29A8"/>
    <w:rsid w:val="007A2D14"/>
    <w:rsid w:val="007A3B1F"/>
    <w:rsid w:val="007A41C8"/>
    <w:rsid w:val="007A4482"/>
    <w:rsid w:val="007A4EAC"/>
    <w:rsid w:val="007A581C"/>
    <w:rsid w:val="007A74C2"/>
    <w:rsid w:val="007A75AD"/>
    <w:rsid w:val="007B089E"/>
    <w:rsid w:val="007B0E79"/>
    <w:rsid w:val="007B18D9"/>
    <w:rsid w:val="007B4092"/>
    <w:rsid w:val="007B7A73"/>
    <w:rsid w:val="007B7BAC"/>
    <w:rsid w:val="007B7E9B"/>
    <w:rsid w:val="007C31B5"/>
    <w:rsid w:val="007C344D"/>
    <w:rsid w:val="007C352D"/>
    <w:rsid w:val="007C3BBF"/>
    <w:rsid w:val="007C4804"/>
    <w:rsid w:val="007C4C5A"/>
    <w:rsid w:val="007C6042"/>
    <w:rsid w:val="007C6085"/>
    <w:rsid w:val="007C6BAA"/>
    <w:rsid w:val="007C73F3"/>
    <w:rsid w:val="007C7FC5"/>
    <w:rsid w:val="007D1688"/>
    <w:rsid w:val="007D1C20"/>
    <w:rsid w:val="007D20F1"/>
    <w:rsid w:val="007D2492"/>
    <w:rsid w:val="007D4462"/>
    <w:rsid w:val="007D45D7"/>
    <w:rsid w:val="007D65B8"/>
    <w:rsid w:val="007D6A00"/>
    <w:rsid w:val="007D7150"/>
    <w:rsid w:val="007E0C7D"/>
    <w:rsid w:val="007E2FAC"/>
    <w:rsid w:val="007E43BD"/>
    <w:rsid w:val="007E4C8A"/>
    <w:rsid w:val="007F029D"/>
    <w:rsid w:val="007F070D"/>
    <w:rsid w:val="007F10B9"/>
    <w:rsid w:val="007F3702"/>
    <w:rsid w:val="007F5F5F"/>
    <w:rsid w:val="007F6C9C"/>
    <w:rsid w:val="00803C84"/>
    <w:rsid w:val="00806A12"/>
    <w:rsid w:val="00806A22"/>
    <w:rsid w:val="0080704D"/>
    <w:rsid w:val="00815655"/>
    <w:rsid w:val="00815991"/>
    <w:rsid w:val="00815DA7"/>
    <w:rsid w:val="00817674"/>
    <w:rsid w:val="00817CA0"/>
    <w:rsid w:val="0082206C"/>
    <w:rsid w:val="00822C12"/>
    <w:rsid w:val="008249EA"/>
    <w:rsid w:val="00827640"/>
    <w:rsid w:val="0083018B"/>
    <w:rsid w:val="00836D3C"/>
    <w:rsid w:val="00837C2B"/>
    <w:rsid w:val="008441BE"/>
    <w:rsid w:val="00845101"/>
    <w:rsid w:val="00846013"/>
    <w:rsid w:val="00857C23"/>
    <w:rsid w:val="00857D4A"/>
    <w:rsid w:val="008601E1"/>
    <w:rsid w:val="00861945"/>
    <w:rsid w:val="00861D47"/>
    <w:rsid w:val="0086219E"/>
    <w:rsid w:val="00862FAB"/>
    <w:rsid w:val="008655D6"/>
    <w:rsid w:val="0086646A"/>
    <w:rsid w:val="00866B41"/>
    <w:rsid w:val="00866E9E"/>
    <w:rsid w:val="00870039"/>
    <w:rsid w:val="00870BDA"/>
    <w:rsid w:val="0087143A"/>
    <w:rsid w:val="00871B38"/>
    <w:rsid w:val="00873291"/>
    <w:rsid w:val="00874B8B"/>
    <w:rsid w:val="00875D90"/>
    <w:rsid w:val="008801A1"/>
    <w:rsid w:val="008816F2"/>
    <w:rsid w:val="00883AF9"/>
    <w:rsid w:val="00883CFD"/>
    <w:rsid w:val="0088645E"/>
    <w:rsid w:val="00886FF0"/>
    <w:rsid w:val="00887E43"/>
    <w:rsid w:val="0089371A"/>
    <w:rsid w:val="008937A7"/>
    <w:rsid w:val="00893FBA"/>
    <w:rsid w:val="0089435F"/>
    <w:rsid w:val="0089457D"/>
    <w:rsid w:val="008953CD"/>
    <w:rsid w:val="00897781"/>
    <w:rsid w:val="008A0389"/>
    <w:rsid w:val="008A2849"/>
    <w:rsid w:val="008A5829"/>
    <w:rsid w:val="008A627D"/>
    <w:rsid w:val="008A65C3"/>
    <w:rsid w:val="008B0B31"/>
    <w:rsid w:val="008B18CC"/>
    <w:rsid w:val="008B2134"/>
    <w:rsid w:val="008B4EF9"/>
    <w:rsid w:val="008B4F7B"/>
    <w:rsid w:val="008B6B51"/>
    <w:rsid w:val="008B6C1F"/>
    <w:rsid w:val="008B75B5"/>
    <w:rsid w:val="008B7F61"/>
    <w:rsid w:val="008C01FB"/>
    <w:rsid w:val="008C2EA1"/>
    <w:rsid w:val="008C4269"/>
    <w:rsid w:val="008C43FB"/>
    <w:rsid w:val="008C5A7B"/>
    <w:rsid w:val="008C6800"/>
    <w:rsid w:val="008C7990"/>
    <w:rsid w:val="008C7E4C"/>
    <w:rsid w:val="008D17CD"/>
    <w:rsid w:val="008D21CA"/>
    <w:rsid w:val="008D38C6"/>
    <w:rsid w:val="008D38DB"/>
    <w:rsid w:val="008D5F4C"/>
    <w:rsid w:val="008D6E20"/>
    <w:rsid w:val="008E08D1"/>
    <w:rsid w:val="008E1F74"/>
    <w:rsid w:val="008E2196"/>
    <w:rsid w:val="008E48FF"/>
    <w:rsid w:val="008E511F"/>
    <w:rsid w:val="008E7261"/>
    <w:rsid w:val="008F099F"/>
    <w:rsid w:val="008F15C2"/>
    <w:rsid w:val="008F2A98"/>
    <w:rsid w:val="008F461C"/>
    <w:rsid w:val="008F6580"/>
    <w:rsid w:val="008F6C1F"/>
    <w:rsid w:val="00900F5E"/>
    <w:rsid w:val="00902403"/>
    <w:rsid w:val="0090321F"/>
    <w:rsid w:val="00904E47"/>
    <w:rsid w:val="00905DC5"/>
    <w:rsid w:val="009065EB"/>
    <w:rsid w:val="00910EEA"/>
    <w:rsid w:val="009111A5"/>
    <w:rsid w:val="00912B56"/>
    <w:rsid w:val="00915505"/>
    <w:rsid w:val="00917B29"/>
    <w:rsid w:val="009213AA"/>
    <w:rsid w:val="009225E6"/>
    <w:rsid w:val="00923A5B"/>
    <w:rsid w:val="0092488F"/>
    <w:rsid w:val="00924FC4"/>
    <w:rsid w:val="00927175"/>
    <w:rsid w:val="00927CF6"/>
    <w:rsid w:val="00927D89"/>
    <w:rsid w:val="00930342"/>
    <w:rsid w:val="00934B80"/>
    <w:rsid w:val="00935475"/>
    <w:rsid w:val="00936FE2"/>
    <w:rsid w:val="009403F9"/>
    <w:rsid w:val="009416C9"/>
    <w:rsid w:val="0094297B"/>
    <w:rsid w:val="00942BE3"/>
    <w:rsid w:val="009462DD"/>
    <w:rsid w:val="00954E5D"/>
    <w:rsid w:val="00955C53"/>
    <w:rsid w:val="00955CB9"/>
    <w:rsid w:val="00956C7A"/>
    <w:rsid w:val="009624B7"/>
    <w:rsid w:val="00963918"/>
    <w:rsid w:val="0096492B"/>
    <w:rsid w:val="009704AF"/>
    <w:rsid w:val="0097375D"/>
    <w:rsid w:val="00975B12"/>
    <w:rsid w:val="009806EE"/>
    <w:rsid w:val="00987408"/>
    <w:rsid w:val="00991CD9"/>
    <w:rsid w:val="00994228"/>
    <w:rsid w:val="00994EF4"/>
    <w:rsid w:val="009A152A"/>
    <w:rsid w:val="009A1ABF"/>
    <w:rsid w:val="009A2865"/>
    <w:rsid w:val="009A5DAD"/>
    <w:rsid w:val="009A5EE6"/>
    <w:rsid w:val="009A7353"/>
    <w:rsid w:val="009A78B3"/>
    <w:rsid w:val="009B195B"/>
    <w:rsid w:val="009B3FFA"/>
    <w:rsid w:val="009B4159"/>
    <w:rsid w:val="009B53C4"/>
    <w:rsid w:val="009B55EF"/>
    <w:rsid w:val="009B5DA6"/>
    <w:rsid w:val="009C03B2"/>
    <w:rsid w:val="009C43A7"/>
    <w:rsid w:val="009C5836"/>
    <w:rsid w:val="009D080F"/>
    <w:rsid w:val="009D0CFC"/>
    <w:rsid w:val="009D1408"/>
    <w:rsid w:val="009D23FA"/>
    <w:rsid w:val="009D3B42"/>
    <w:rsid w:val="009D42A8"/>
    <w:rsid w:val="009D42D7"/>
    <w:rsid w:val="009D5D5E"/>
    <w:rsid w:val="009D61A2"/>
    <w:rsid w:val="009D7CEE"/>
    <w:rsid w:val="009E2AF9"/>
    <w:rsid w:val="009E325F"/>
    <w:rsid w:val="009E6E8E"/>
    <w:rsid w:val="009F140C"/>
    <w:rsid w:val="009F26F0"/>
    <w:rsid w:val="009F3C06"/>
    <w:rsid w:val="009F4877"/>
    <w:rsid w:val="009F487E"/>
    <w:rsid w:val="009F6A82"/>
    <w:rsid w:val="009F7C1D"/>
    <w:rsid w:val="00A01451"/>
    <w:rsid w:val="00A065DD"/>
    <w:rsid w:val="00A10037"/>
    <w:rsid w:val="00A1569B"/>
    <w:rsid w:val="00A20F3C"/>
    <w:rsid w:val="00A2109D"/>
    <w:rsid w:val="00A21447"/>
    <w:rsid w:val="00A21F56"/>
    <w:rsid w:val="00A24053"/>
    <w:rsid w:val="00A26C08"/>
    <w:rsid w:val="00A3015E"/>
    <w:rsid w:val="00A308AB"/>
    <w:rsid w:val="00A315F3"/>
    <w:rsid w:val="00A31D7E"/>
    <w:rsid w:val="00A32AB5"/>
    <w:rsid w:val="00A33647"/>
    <w:rsid w:val="00A348C9"/>
    <w:rsid w:val="00A36263"/>
    <w:rsid w:val="00A3723F"/>
    <w:rsid w:val="00A37FCE"/>
    <w:rsid w:val="00A4088B"/>
    <w:rsid w:val="00A416A7"/>
    <w:rsid w:val="00A436AB"/>
    <w:rsid w:val="00A45723"/>
    <w:rsid w:val="00A45A68"/>
    <w:rsid w:val="00A51403"/>
    <w:rsid w:val="00A51906"/>
    <w:rsid w:val="00A549F3"/>
    <w:rsid w:val="00A54AE3"/>
    <w:rsid w:val="00A55A7F"/>
    <w:rsid w:val="00A64773"/>
    <w:rsid w:val="00A706FB"/>
    <w:rsid w:val="00A710FB"/>
    <w:rsid w:val="00A71684"/>
    <w:rsid w:val="00A717F8"/>
    <w:rsid w:val="00A72B60"/>
    <w:rsid w:val="00A80625"/>
    <w:rsid w:val="00A80743"/>
    <w:rsid w:val="00A81384"/>
    <w:rsid w:val="00A834FF"/>
    <w:rsid w:val="00A848A3"/>
    <w:rsid w:val="00A84DBA"/>
    <w:rsid w:val="00A84F9F"/>
    <w:rsid w:val="00A9096D"/>
    <w:rsid w:val="00A90C65"/>
    <w:rsid w:val="00A90CB8"/>
    <w:rsid w:val="00A94A37"/>
    <w:rsid w:val="00A95CEF"/>
    <w:rsid w:val="00AA13A7"/>
    <w:rsid w:val="00AA1599"/>
    <w:rsid w:val="00AA265A"/>
    <w:rsid w:val="00AA3A94"/>
    <w:rsid w:val="00AA5D09"/>
    <w:rsid w:val="00AB0CE7"/>
    <w:rsid w:val="00AB156E"/>
    <w:rsid w:val="00AB3938"/>
    <w:rsid w:val="00AB587B"/>
    <w:rsid w:val="00AB5C1E"/>
    <w:rsid w:val="00AC15A7"/>
    <w:rsid w:val="00AC1DE1"/>
    <w:rsid w:val="00AC560C"/>
    <w:rsid w:val="00AC5897"/>
    <w:rsid w:val="00AC5DCB"/>
    <w:rsid w:val="00AD1C7C"/>
    <w:rsid w:val="00AD220C"/>
    <w:rsid w:val="00AD28A5"/>
    <w:rsid w:val="00AD3556"/>
    <w:rsid w:val="00AD567E"/>
    <w:rsid w:val="00AD5E47"/>
    <w:rsid w:val="00AD67C2"/>
    <w:rsid w:val="00AD6C1E"/>
    <w:rsid w:val="00AD7CDC"/>
    <w:rsid w:val="00AD7E8F"/>
    <w:rsid w:val="00AE0607"/>
    <w:rsid w:val="00AE2244"/>
    <w:rsid w:val="00AE29B9"/>
    <w:rsid w:val="00AE5B1D"/>
    <w:rsid w:val="00AE784D"/>
    <w:rsid w:val="00AF05F2"/>
    <w:rsid w:val="00AF0961"/>
    <w:rsid w:val="00AF3CD3"/>
    <w:rsid w:val="00AF5C65"/>
    <w:rsid w:val="00AF67A0"/>
    <w:rsid w:val="00B008B3"/>
    <w:rsid w:val="00B02858"/>
    <w:rsid w:val="00B16D2C"/>
    <w:rsid w:val="00B21DB0"/>
    <w:rsid w:val="00B2296B"/>
    <w:rsid w:val="00B26313"/>
    <w:rsid w:val="00B308DC"/>
    <w:rsid w:val="00B30AD1"/>
    <w:rsid w:val="00B31BF5"/>
    <w:rsid w:val="00B35393"/>
    <w:rsid w:val="00B35D3A"/>
    <w:rsid w:val="00B35ED0"/>
    <w:rsid w:val="00B376D7"/>
    <w:rsid w:val="00B41C65"/>
    <w:rsid w:val="00B44D5A"/>
    <w:rsid w:val="00B50F1E"/>
    <w:rsid w:val="00B5338C"/>
    <w:rsid w:val="00B544B9"/>
    <w:rsid w:val="00B549D7"/>
    <w:rsid w:val="00B55CFF"/>
    <w:rsid w:val="00B601FB"/>
    <w:rsid w:val="00B63069"/>
    <w:rsid w:val="00B6306B"/>
    <w:rsid w:val="00B6469F"/>
    <w:rsid w:val="00B663A7"/>
    <w:rsid w:val="00B70289"/>
    <w:rsid w:val="00B703D1"/>
    <w:rsid w:val="00B70A1F"/>
    <w:rsid w:val="00B71E1E"/>
    <w:rsid w:val="00B72B52"/>
    <w:rsid w:val="00B75853"/>
    <w:rsid w:val="00B75ECC"/>
    <w:rsid w:val="00B77996"/>
    <w:rsid w:val="00B81EE3"/>
    <w:rsid w:val="00B84266"/>
    <w:rsid w:val="00B849DD"/>
    <w:rsid w:val="00B865C3"/>
    <w:rsid w:val="00B86DFE"/>
    <w:rsid w:val="00B870CB"/>
    <w:rsid w:val="00B9279B"/>
    <w:rsid w:val="00B94C93"/>
    <w:rsid w:val="00B95B53"/>
    <w:rsid w:val="00B96AF4"/>
    <w:rsid w:val="00BA1155"/>
    <w:rsid w:val="00BA3FCD"/>
    <w:rsid w:val="00BA465A"/>
    <w:rsid w:val="00BA4B86"/>
    <w:rsid w:val="00BA6226"/>
    <w:rsid w:val="00BA6E0F"/>
    <w:rsid w:val="00BB04ED"/>
    <w:rsid w:val="00BB10F0"/>
    <w:rsid w:val="00BB1228"/>
    <w:rsid w:val="00BB351B"/>
    <w:rsid w:val="00BB61F7"/>
    <w:rsid w:val="00BB6D7B"/>
    <w:rsid w:val="00BB7F52"/>
    <w:rsid w:val="00BC06CD"/>
    <w:rsid w:val="00BC30D7"/>
    <w:rsid w:val="00BC4D40"/>
    <w:rsid w:val="00BC4DED"/>
    <w:rsid w:val="00BC4EAB"/>
    <w:rsid w:val="00BC5076"/>
    <w:rsid w:val="00BC65B6"/>
    <w:rsid w:val="00BC6A8F"/>
    <w:rsid w:val="00BC700A"/>
    <w:rsid w:val="00BC7442"/>
    <w:rsid w:val="00BD02EC"/>
    <w:rsid w:val="00BD0A24"/>
    <w:rsid w:val="00BD2491"/>
    <w:rsid w:val="00BD2AE1"/>
    <w:rsid w:val="00BD3CE5"/>
    <w:rsid w:val="00BD4083"/>
    <w:rsid w:val="00BD6165"/>
    <w:rsid w:val="00BD7139"/>
    <w:rsid w:val="00BE059C"/>
    <w:rsid w:val="00BE29B5"/>
    <w:rsid w:val="00BE455B"/>
    <w:rsid w:val="00BE7EF2"/>
    <w:rsid w:val="00BF05CB"/>
    <w:rsid w:val="00BF5C92"/>
    <w:rsid w:val="00BF681D"/>
    <w:rsid w:val="00C0043F"/>
    <w:rsid w:val="00C0282A"/>
    <w:rsid w:val="00C0368B"/>
    <w:rsid w:val="00C0386F"/>
    <w:rsid w:val="00C04A80"/>
    <w:rsid w:val="00C06466"/>
    <w:rsid w:val="00C06797"/>
    <w:rsid w:val="00C071AA"/>
    <w:rsid w:val="00C12E4B"/>
    <w:rsid w:val="00C1530B"/>
    <w:rsid w:val="00C1696C"/>
    <w:rsid w:val="00C205EE"/>
    <w:rsid w:val="00C227D7"/>
    <w:rsid w:val="00C22DFB"/>
    <w:rsid w:val="00C23ACC"/>
    <w:rsid w:val="00C24CF9"/>
    <w:rsid w:val="00C30BCC"/>
    <w:rsid w:val="00C32429"/>
    <w:rsid w:val="00C339D5"/>
    <w:rsid w:val="00C33AA3"/>
    <w:rsid w:val="00C37BFF"/>
    <w:rsid w:val="00C40EAD"/>
    <w:rsid w:val="00C41E5D"/>
    <w:rsid w:val="00C42335"/>
    <w:rsid w:val="00C42C71"/>
    <w:rsid w:val="00C47B35"/>
    <w:rsid w:val="00C502DB"/>
    <w:rsid w:val="00C51B5E"/>
    <w:rsid w:val="00C5519F"/>
    <w:rsid w:val="00C579D2"/>
    <w:rsid w:val="00C57BA7"/>
    <w:rsid w:val="00C60861"/>
    <w:rsid w:val="00C64D28"/>
    <w:rsid w:val="00C653CF"/>
    <w:rsid w:val="00C654A4"/>
    <w:rsid w:val="00C70228"/>
    <w:rsid w:val="00C7500D"/>
    <w:rsid w:val="00C7517B"/>
    <w:rsid w:val="00C75F2C"/>
    <w:rsid w:val="00C7752C"/>
    <w:rsid w:val="00C8026D"/>
    <w:rsid w:val="00C819BB"/>
    <w:rsid w:val="00C82F23"/>
    <w:rsid w:val="00C83E8E"/>
    <w:rsid w:val="00C84037"/>
    <w:rsid w:val="00C8499B"/>
    <w:rsid w:val="00C8544B"/>
    <w:rsid w:val="00C8695C"/>
    <w:rsid w:val="00C91338"/>
    <w:rsid w:val="00C93A1B"/>
    <w:rsid w:val="00C959B4"/>
    <w:rsid w:val="00CA3513"/>
    <w:rsid w:val="00CA6363"/>
    <w:rsid w:val="00CA6ED9"/>
    <w:rsid w:val="00CA78FA"/>
    <w:rsid w:val="00CB0251"/>
    <w:rsid w:val="00CB0F32"/>
    <w:rsid w:val="00CB27F8"/>
    <w:rsid w:val="00CB48D1"/>
    <w:rsid w:val="00CB527C"/>
    <w:rsid w:val="00CB5EE9"/>
    <w:rsid w:val="00CB7BFA"/>
    <w:rsid w:val="00CC0822"/>
    <w:rsid w:val="00CC2B55"/>
    <w:rsid w:val="00CC35B0"/>
    <w:rsid w:val="00CC42D9"/>
    <w:rsid w:val="00CC6021"/>
    <w:rsid w:val="00CC741E"/>
    <w:rsid w:val="00CD4880"/>
    <w:rsid w:val="00CD4CB9"/>
    <w:rsid w:val="00CD74EA"/>
    <w:rsid w:val="00CE0584"/>
    <w:rsid w:val="00CE1962"/>
    <w:rsid w:val="00CE1DA5"/>
    <w:rsid w:val="00CE2543"/>
    <w:rsid w:val="00CE28F8"/>
    <w:rsid w:val="00CE376E"/>
    <w:rsid w:val="00CF23E3"/>
    <w:rsid w:val="00CF4A14"/>
    <w:rsid w:val="00CF4F5C"/>
    <w:rsid w:val="00CF5813"/>
    <w:rsid w:val="00CF6010"/>
    <w:rsid w:val="00CF684C"/>
    <w:rsid w:val="00D00471"/>
    <w:rsid w:val="00D00F4C"/>
    <w:rsid w:val="00D05A48"/>
    <w:rsid w:val="00D12F5E"/>
    <w:rsid w:val="00D14284"/>
    <w:rsid w:val="00D151F7"/>
    <w:rsid w:val="00D1544A"/>
    <w:rsid w:val="00D164EC"/>
    <w:rsid w:val="00D17062"/>
    <w:rsid w:val="00D203FF"/>
    <w:rsid w:val="00D22374"/>
    <w:rsid w:val="00D30DE1"/>
    <w:rsid w:val="00D31457"/>
    <w:rsid w:val="00D315DA"/>
    <w:rsid w:val="00D32EEF"/>
    <w:rsid w:val="00D337A0"/>
    <w:rsid w:val="00D34C45"/>
    <w:rsid w:val="00D350F9"/>
    <w:rsid w:val="00D41812"/>
    <w:rsid w:val="00D42660"/>
    <w:rsid w:val="00D44AD0"/>
    <w:rsid w:val="00D51622"/>
    <w:rsid w:val="00D52DC2"/>
    <w:rsid w:val="00D545B4"/>
    <w:rsid w:val="00D55CE9"/>
    <w:rsid w:val="00D57AB3"/>
    <w:rsid w:val="00D62F08"/>
    <w:rsid w:val="00D64906"/>
    <w:rsid w:val="00D64DF5"/>
    <w:rsid w:val="00D661BC"/>
    <w:rsid w:val="00D67E75"/>
    <w:rsid w:val="00D71858"/>
    <w:rsid w:val="00D75608"/>
    <w:rsid w:val="00D763AC"/>
    <w:rsid w:val="00D763BE"/>
    <w:rsid w:val="00D7650B"/>
    <w:rsid w:val="00D76E2B"/>
    <w:rsid w:val="00D7770D"/>
    <w:rsid w:val="00D77CD3"/>
    <w:rsid w:val="00D85F6A"/>
    <w:rsid w:val="00D91B20"/>
    <w:rsid w:val="00D9245B"/>
    <w:rsid w:val="00D926E0"/>
    <w:rsid w:val="00D93810"/>
    <w:rsid w:val="00D93CF6"/>
    <w:rsid w:val="00D94367"/>
    <w:rsid w:val="00D944A5"/>
    <w:rsid w:val="00D94CDF"/>
    <w:rsid w:val="00DA0218"/>
    <w:rsid w:val="00DA47EF"/>
    <w:rsid w:val="00DA5017"/>
    <w:rsid w:val="00DA741B"/>
    <w:rsid w:val="00DB0845"/>
    <w:rsid w:val="00DB106F"/>
    <w:rsid w:val="00DB38DA"/>
    <w:rsid w:val="00DB396D"/>
    <w:rsid w:val="00DB4843"/>
    <w:rsid w:val="00DB5FA2"/>
    <w:rsid w:val="00DB6E57"/>
    <w:rsid w:val="00DB7109"/>
    <w:rsid w:val="00DC08EB"/>
    <w:rsid w:val="00DC4267"/>
    <w:rsid w:val="00DC55B0"/>
    <w:rsid w:val="00DC61A5"/>
    <w:rsid w:val="00DD4D3C"/>
    <w:rsid w:val="00DD6B9C"/>
    <w:rsid w:val="00DD703B"/>
    <w:rsid w:val="00DD710B"/>
    <w:rsid w:val="00DE163E"/>
    <w:rsid w:val="00DF1586"/>
    <w:rsid w:val="00DF22FE"/>
    <w:rsid w:val="00DF340F"/>
    <w:rsid w:val="00DF34CE"/>
    <w:rsid w:val="00DF5809"/>
    <w:rsid w:val="00E0020F"/>
    <w:rsid w:val="00E039A9"/>
    <w:rsid w:val="00E077F3"/>
    <w:rsid w:val="00E07A5B"/>
    <w:rsid w:val="00E07FEE"/>
    <w:rsid w:val="00E14AF8"/>
    <w:rsid w:val="00E16432"/>
    <w:rsid w:val="00E17010"/>
    <w:rsid w:val="00E23867"/>
    <w:rsid w:val="00E25A38"/>
    <w:rsid w:val="00E268B9"/>
    <w:rsid w:val="00E26F0F"/>
    <w:rsid w:val="00E32DBC"/>
    <w:rsid w:val="00E3450F"/>
    <w:rsid w:val="00E36589"/>
    <w:rsid w:val="00E37674"/>
    <w:rsid w:val="00E403AE"/>
    <w:rsid w:val="00E421D0"/>
    <w:rsid w:val="00E444C8"/>
    <w:rsid w:val="00E45D65"/>
    <w:rsid w:val="00E46D3E"/>
    <w:rsid w:val="00E4737B"/>
    <w:rsid w:val="00E51CCA"/>
    <w:rsid w:val="00E53409"/>
    <w:rsid w:val="00E53CD0"/>
    <w:rsid w:val="00E55AF9"/>
    <w:rsid w:val="00E56807"/>
    <w:rsid w:val="00E579DD"/>
    <w:rsid w:val="00E61175"/>
    <w:rsid w:val="00E624BD"/>
    <w:rsid w:val="00E63EAB"/>
    <w:rsid w:val="00E64FCA"/>
    <w:rsid w:val="00E661AD"/>
    <w:rsid w:val="00E72340"/>
    <w:rsid w:val="00E75914"/>
    <w:rsid w:val="00E76E17"/>
    <w:rsid w:val="00E77593"/>
    <w:rsid w:val="00E7761F"/>
    <w:rsid w:val="00E803C0"/>
    <w:rsid w:val="00E807DD"/>
    <w:rsid w:val="00E83D66"/>
    <w:rsid w:val="00E86771"/>
    <w:rsid w:val="00E90D24"/>
    <w:rsid w:val="00E914FF"/>
    <w:rsid w:val="00E92652"/>
    <w:rsid w:val="00E9360C"/>
    <w:rsid w:val="00E955BF"/>
    <w:rsid w:val="00E959A3"/>
    <w:rsid w:val="00E97022"/>
    <w:rsid w:val="00E977B7"/>
    <w:rsid w:val="00E9798E"/>
    <w:rsid w:val="00EA26BA"/>
    <w:rsid w:val="00EA410E"/>
    <w:rsid w:val="00EA4ED6"/>
    <w:rsid w:val="00EB0649"/>
    <w:rsid w:val="00EB32A7"/>
    <w:rsid w:val="00EB3F67"/>
    <w:rsid w:val="00EB4182"/>
    <w:rsid w:val="00EB4A44"/>
    <w:rsid w:val="00EB5129"/>
    <w:rsid w:val="00EB639C"/>
    <w:rsid w:val="00EC1DA7"/>
    <w:rsid w:val="00EC3059"/>
    <w:rsid w:val="00EC4D0F"/>
    <w:rsid w:val="00EC61D1"/>
    <w:rsid w:val="00EC67D3"/>
    <w:rsid w:val="00ED073E"/>
    <w:rsid w:val="00ED1538"/>
    <w:rsid w:val="00ED5EB8"/>
    <w:rsid w:val="00ED5F09"/>
    <w:rsid w:val="00ED6E53"/>
    <w:rsid w:val="00ED754A"/>
    <w:rsid w:val="00EE1590"/>
    <w:rsid w:val="00EE42AB"/>
    <w:rsid w:val="00EE4CBF"/>
    <w:rsid w:val="00EE6ACD"/>
    <w:rsid w:val="00EF06E0"/>
    <w:rsid w:val="00EF21E1"/>
    <w:rsid w:val="00EF311D"/>
    <w:rsid w:val="00EF3648"/>
    <w:rsid w:val="00EF372B"/>
    <w:rsid w:val="00EF47BA"/>
    <w:rsid w:val="00EF4E7B"/>
    <w:rsid w:val="00EF7582"/>
    <w:rsid w:val="00F0044D"/>
    <w:rsid w:val="00F00BC8"/>
    <w:rsid w:val="00F028B8"/>
    <w:rsid w:val="00F046D2"/>
    <w:rsid w:val="00F056CD"/>
    <w:rsid w:val="00F07BEE"/>
    <w:rsid w:val="00F10D0F"/>
    <w:rsid w:val="00F15431"/>
    <w:rsid w:val="00F15F78"/>
    <w:rsid w:val="00F20CA2"/>
    <w:rsid w:val="00F20DAD"/>
    <w:rsid w:val="00F21032"/>
    <w:rsid w:val="00F21E74"/>
    <w:rsid w:val="00F24401"/>
    <w:rsid w:val="00F2523C"/>
    <w:rsid w:val="00F316C4"/>
    <w:rsid w:val="00F316E3"/>
    <w:rsid w:val="00F322DE"/>
    <w:rsid w:val="00F33026"/>
    <w:rsid w:val="00F3336C"/>
    <w:rsid w:val="00F333F7"/>
    <w:rsid w:val="00F337BC"/>
    <w:rsid w:val="00F36D8F"/>
    <w:rsid w:val="00F36E30"/>
    <w:rsid w:val="00F36F13"/>
    <w:rsid w:val="00F37F0F"/>
    <w:rsid w:val="00F40C7B"/>
    <w:rsid w:val="00F45137"/>
    <w:rsid w:val="00F465F3"/>
    <w:rsid w:val="00F50C7D"/>
    <w:rsid w:val="00F51425"/>
    <w:rsid w:val="00F521B1"/>
    <w:rsid w:val="00F54039"/>
    <w:rsid w:val="00F545B6"/>
    <w:rsid w:val="00F54FD4"/>
    <w:rsid w:val="00F57334"/>
    <w:rsid w:val="00F57C9D"/>
    <w:rsid w:val="00F600D2"/>
    <w:rsid w:val="00F62B67"/>
    <w:rsid w:val="00F65F7A"/>
    <w:rsid w:val="00F66F14"/>
    <w:rsid w:val="00F67057"/>
    <w:rsid w:val="00F7041B"/>
    <w:rsid w:val="00F70954"/>
    <w:rsid w:val="00F72375"/>
    <w:rsid w:val="00F72C0E"/>
    <w:rsid w:val="00F72D5E"/>
    <w:rsid w:val="00F72E16"/>
    <w:rsid w:val="00F73A52"/>
    <w:rsid w:val="00F7573E"/>
    <w:rsid w:val="00F77D45"/>
    <w:rsid w:val="00F8109F"/>
    <w:rsid w:val="00F8454A"/>
    <w:rsid w:val="00F85C4C"/>
    <w:rsid w:val="00F86564"/>
    <w:rsid w:val="00F906CC"/>
    <w:rsid w:val="00F912B5"/>
    <w:rsid w:val="00F933E0"/>
    <w:rsid w:val="00F942E6"/>
    <w:rsid w:val="00F94D8D"/>
    <w:rsid w:val="00F94FB4"/>
    <w:rsid w:val="00F95F4D"/>
    <w:rsid w:val="00F966E6"/>
    <w:rsid w:val="00FA0A24"/>
    <w:rsid w:val="00FA1525"/>
    <w:rsid w:val="00FA615B"/>
    <w:rsid w:val="00FA64BA"/>
    <w:rsid w:val="00FB1137"/>
    <w:rsid w:val="00FB3029"/>
    <w:rsid w:val="00FB5343"/>
    <w:rsid w:val="00FB682C"/>
    <w:rsid w:val="00FB72B4"/>
    <w:rsid w:val="00FC0872"/>
    <w:rsid w:val="00FC0C66"/>
    <w:rsid w:val="00FC2E67"/>
    <w:rsid w:val="00FC3BB2"/>
    <w:rsid w:val="00FC5B0E"/>
    <w:rsid w:val="00FC6923"/>
    <w:rsid w:val="00FC6ABE"/>
    <w:rsid w:val="00FC7319"/>
    <w:rsid w:val="00FC73D3"/>
    <w:rsid w:val="00FD0F34"/>
    <w:rsid w:val="00FD1075"/>
    <w:rsid w:val="00FD1D1E"/>
    <w:rsid w:val="00FD3732"/>
    <w:rsid w:val="00FD3E8A"/>
    <w:rsid w:val="00FD6163"/>
    <w:rsid w:val="00FD7AB9"/>
    <w:rsid w:val="00FE08E9"/>
    <w:rsid w:val="00FE0E6E"/>
    <w:rsid w:val="00FE2DB5"/>
    <w:rsid w:val="00FE3224"/>
    <w:rsid w:val="00FE5D12"/>
    <w:rsid w:val="00FF1343"/>
    <w:rsid w:val="00FF1383"/>
    <w:rsid w:val="00FF522F"/>
    <w:rsid w:val="00FF5536"/>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A325"/>
  <w15:chartTrackingRefBased/>
  <w15:docId w15:val="{8421642A-871D-4940-9C95-EE9BDDDB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4D"/>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44D"/>
    <w:pPr>
      <w:tabs>
        <w:tab w:val="center" w:pos="4320"/>
        <w:tab w:val="right" w:pos="8640"/>
      </w:tabs>
    </w:pPr>
  </w:style>
  <w:style w:type="character" w:customStyle="1" w:styleId="HeaderChar">
    <w:name w:val="Header Char"/>
    <w:link w:val="Header"/>
    <w:rsid w:val="00F0044D"/>
    <w:rPr>
      <w:rFonts w:ascii="Arial" w:eastAsia="Times New Roman" w:hAnsi="Arial" w:cs="Arial"/>
      <w:sz w:val="24"/>
      <w:szCs w:val="24"/>
      <w:lang w:eastAsia="en-US"/>
    </w:rPr>
  </w:style>
  <w:style w:type="paragraph" w:customStyle="1" w:styleId="CharCharCharChar2">
    <w:name w:val="Char Char Char Char2"/>
    <w:basedOn w:val="Normal"/>
    <w:locked/>
    <w:rsid w:val="00EE6ACD"/>
    <w:pPr>
      <w:spacing w:after="160" w:line="240" w:lineRule="exact"/>
    </w:pPr>
    <w:rPr>
      <w:rFonts w:ascii="Verdana" w:eastAsia="MS ??" w:hAnsi="Verdana" w:cs="Verdana"/>
      <w:sz w:val="20"/>
      <w:szCs w:val="20"/>
      <w:lang w:val="en-US"/>
    </w:rPr>
  </w:style>
  <w:style w:type="paragraph" w:styleId="ListParagraph">
    <w:name w:val="List Paragraph"/>
    <w:basedOn w:val="Normal"/>
    <w:uiPriority w:val="34"/>
    <w:qFormat/>
    <w:rsid w:val="00B94C93"/>
    <w:pPr>
      <w:ind w:left="720"/>
    </w:pPr>
  </w:style>
  <w:style w:type="paragraph" w:styleId="Footer">
    <w:name w:val="footer"/>
    <w:basedOn w:val="Normal"/>
    <w:link w:val="FooterChar"/>
    <w:uiPriority w:val="99"/>
    <w:unhideWhenUsed/>
    <w:rsid w:val="009A78B3"/>
    <w:pPr>
      <w:tabs>
        <w:tab w:val="center" w:pos="4513"/>
        <w:tab w:val="right" w:pos="9026"/>
      </w:tabs>
    </w:pPr>
  </w:style>
  <w:style w:type="character" w:customStyle="1" w:styleId="FooterChar">
    <w:name w:val="Footer Char"/>
    <w:link w:val="Footer"/>
    <w:uiPriority w:val="99"/>
    <w:rsid w:val="009A78B3"/>
    <w:rPr>
      <w:rFonts w:ascii="Arial" w:eastAsia="Times New Roman" w:hAnsi="Arial" w:cs="Arial"/>
      <w:sz w:val="24"/>
      <w:szCs w:val="24"/>
      <w:lang w:eastAsia="en-US"/>
    </w:rPr>
  </w:style>
  <w:style w:type="paragraph" w:styleId="FootnoteText">
    <w:name w:val="footnote text"/>
    <w:basedOn w:val="Normal"/>
    <w:link w:val="FootnoteTextChar"/>
    <w:uiPriority w:val="99"/>
    <w:semiHidden/>
    <w:unhideWhenUsed/>
    <w:rsid w:val="00142DBE"/>
    <w:rPr>
      <w:sz w:val="20"/>
      <w:szCs w:val="20"/>
    </w:rPr>
  </w:style>
  <w:style w:type="character" w:customStyle="1" w:styleId="FootnoteTextChar">
    <w:name w:val="Footnote Text Char"/>
    <w:link w:val="FootnoteText"/>
    <w:uiPriority w:val="99"/>
    <w:semiHidden/>
    <w:rsid w:val="00142DBE"/>
    <w:rPr>
      <w:rFonts w:ascii="Arial" w:eastAsia="Times New Roman" w:hAnsi="Arial" w:cs="Arial"/>
      <w:lang w:eastAsia="en-US"/>
    </w:rPr>
  </w:style>
  <w:style w:type="character" w:styleId="FootnoteReference">
    <w:name w:val="footnote reference"/>
    <w:uiPriority w:val="99"/>
    <w:semiHidden/>
    <w:unhideWhenUsed/>
    <w:rsid w:val="00142DBE"/>
    <w:rPr>
      <w:vertAlign w:val="superscript"/>
    </w:rPr>
  </w:style>
  <w:style w:type="character" w:styleId="Hyperlink">
    <w:name w:val="Hyperlink"/>
    <w:uiPriority w:val="99"/>
    <w:unhideWhenUsed/>
    <w:rsid w:val="00377E71"/>
    <w:rPr>
      <w:color w:val="0000FF"/>
      <w:u w:val="single"/>
    </w:rPr>
  </w:style>
  <w:style w:type="paragraph" w:styleId="BalloonText">
    <w:name w:val="Balloon Text"/>
    <w:basedOn w:val="Normal"/>
    <w:link w:val="BalloonTextChar"/>
    <w:uiPriority w:val="99"/>
    <w:semiHidden/>
    <w:unhideWhenUsed/>
    <w:rsid w:val="00FE3224"/>
    <w:rPr>
      <w:rFonts w:ascii="Tahoma" w:hAnsi="Tahoma" w:cs="Tahoma"/>
      <w:sz w:val="16"/>
      <w:szCs w:val="16"/>
    </w:rPr>
  </w:style>
  <w:style w:type="character" w:customStyle="1" w:styleId="BalloonTextChar">
    <w:name w:val="Balloon Text Char"/>
    <w:link w:val="BalloonText"/>
    <w:uiPriority w:val="99"/>
    <w:semiHidden/>
    <w:rsid w:val="00FE3224"/>
    <w:rPr>
      <w:rFonts w:ascii="Tahoma" w:eastAsia="Times New Roman" w:hAnsi="Tahoma" w:cs="Tahoma"/>
      <w:sz w:val="16"/>
      <w:szCs w:val="16"/>
      <w:lang w:eastAsia="en-US"/>
    </w:rPr>
  </w:style>
  <w:style w:type="character" w:styleId="CommentReference">
    <w:name w:val="annotation reference"/>
    <w:uiPriority w:val="99"/>
    <w:semiHidden/>
    <w:unhideWhenUsed/>
    <w:rsid w:val="00AB3938"/>
    <w:rPr>
      <w:sz w:val="16"/>
      <w:szCs w:val="16"/>
    </w:rPr>
  </w:style>
  <w:style w:type="paragraph" w:styleId="CommentText">
    <w:name w:val="annotation text"/>
    <w:basedOn w:val="Normal"/>
    <w:link w:val="CommentTextChar"/>
    <w:uiPriority w:val="99"/>
    <w:semiHidden/>
    <w:unhideWhenUsed/>
    <w:rsid w:val="00AB3938"/>
    <w:rPr>
      <w:sz w:val="20"/>
      <w:szCs w:val="20"/>
    </w:rPr>
  </w:style>
  <w:style w:type="character" w:customStyle="1" w:styleId="CommentTextChar">
    <w:name w:val="Comment Text Char"/>
    <w:link w:val="CommentText"/>
    <w:uiPriority w:val="99"/>
    <w:semiHidden/>
    <w:rsid w:val="00AB3938"/>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AB3938"/>
    <w:rPr>
      <w:b/>
      <w:bCs/>
    </w:rPr>
  </w:style>
  <w:style w:type="character" w:customStyle="1" w:styleId="CommentSubjectChar">
    <w:name w:val="Comment Subject Char"/>
    <w:link w:val="CommentSubject"/>
    <w:uiPriority w:val="99"/>
    <w:semiHidden/>
    <w:rsid w:val="00AB3938"/>
    <w:rPr>
      <w:rFonts w:ascii="Arial" w:eastAsia="Times New Roman" w:hAnsi="Arial" w:cs="Arial"/>
      <w:b/>
      <w:bCs/>
      <w:lang w:eastAsia="en-US"/>
    </w:rPr>
  </w:style>
  <w:style w:type="paragraph" w:customStyle="1" w:styleId="Default">
    <w:name w:val="Default"/>
    <w:rsid w:val="00AD220C"/>
    <w:pPr>
      <w:autoSpaceDE w:val="0"/>
      <w:autoSpaceDN w:val="0"/>
      <w:adjustRightInd w:val="0"/>
    </w:pPr>
    <w:rPr>
      <w:rFonts w:ascii="Arial" w:hAnsi="Arial" w:cs="Arial"/>
      <w:color w:val="000000"/>
      <w:sz w:val="24"/>
      <w:szCs w:val="24"/>
    </w:rPr>
  </w:style>
  <w:style w:type="table" w:styleId="TableGrid">
    <w:name w:val="Table Grid"/>
    <w:basedOn w:val="TableNormal"/>
    <w:rsid w:val="008C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55C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6925">
      <w:bodyDiv w:val="1"/>
      <w:marLeft w:val="0"/>
      <w:marRight w:val="0"/>
      <w:marTop w:val="0"/>
      <w:marBottom w:val="0"/>
      <w:divBdr>
        <w:top w:val="none" w:sz="0" w:space="0" w:color="auto"/>
        <w:left w:val="none" w:sz="0" w:space="0" w:color="auto"/>
        <w:bottom w:val="none" w:sz="0" w:space="0" w:color="auto"/>
        <w:right w:val="none" w:sz="0" w:space="0" w:color="auto"/>
      </w:divBdr>
    </w:div>
    <w:div w:id="447700889">
      <w:bodyDiv w:val="1"/>
      <w:marLeft w:val="0"/>
      <w:marRight w:val="0"/>
      <w:marTop w:val="0"/>
      <w:marBottom w:val="0"/>
      <w:divBdr>
        <w:top w:val="none" w:sz="0" w:space="0" w:color="auto"/>
        <w:left w:val="none" w:sz="0" w:space="0" w:color="auto"/>
        <w:bottom w:val="none" w:sz="0" w:space="0" w:color="auto"/>
        <w:right w:val="none" w:sz="0" w:space="0" w:color="auto"/>
      </w:divBdr>
    </w:div>
    <w:div w:id="617027847">
      <w:bodyDiv w:val="1"/>
      <w:marLeft w:val="0"/>
      <w:marRight w:val="0"/>
      <w:marTop w:val="0"/>
      <w:marBottom w:val="0"/>
      <w:divBdr>
        <w:top w:val="none" w:sz="0" w:space="0" w:color="auto"/>
        <w:left w:val="none" w:sz="0" w:space="0" w:color="auto"/>
        <w:bottom w:val="none" w:sz="0" w:space="0" w:color="auto"/>
        <w:right w:val="none" w:sz="0" w:space="0" w:color="auto"/>
      </w:divBdr>
      <w:divsChild>
        <w:div w:id="121929132">
          <w:marLeft w:val="547"/>
          <w:marRight w:val="0"/>
          <w:marTop w:val="58"/>
          <w:marBottom w:val="0"/>
          <w:divBdr>
            <w:top w:val="none" w:sz="0" w:space="0" w:color="auto"/>
            <w:left w:val="none" w:sz="0" w:space="0" w:color="auto"/>
            <w:bottom w:val="none" w:sz="0" w:space="0" w:color="auto"/>
            <w:right w:val="none" w:sz="0" w:space="0" w:color="auto"/>
          </w:divBdr>
        </w:div>
        <w:div w:id="609818919">
          <w:marLeft w:val="547"/>
          <w:marRight w:val="0"/>
          <w:marTop w:val="58"/>
          <w:marBottom w:val="0"/>
          <w:divBdr>
            <w:top w:val="none" w:sz="0" w:space="0" w:color="auto"/>
            <w:left w:val="none" w:sz="0" w:space="0" w:color="auto"/>
            <w:bottom w:val="none" w:sz="0" w:space="0" w:color="auto"/>
            <w:right w:val="none" w:sz="0" w:space="0" w:color="auto"/>
          </w:divBdr>
        </w:div>
        <w:div w:id="708603129">
          <w:marLeft w:val="547"/>
          <w:marRight w:val="0"/>
          <w:marTop w:val="58"/>
          <w:marBottom w:val="0"/>
          <w:divBdr>
            <w:top w:val="none" w:sz="0" w:space="0" w:color="auto"/>
            <w:left w:val="none" w:sz="0" w:space="0" w:color="auto"/>
            <w:bottom w:val="none" w:sz="0" w:space="0" w:color="auto"/>
            <w:right w:val="none" w:sz="0" w:space="0" w:color="auto"/>
          </w:divBdr>
        </w:div>
        <w:div w:id="772172446">
          <w:marLeft w:val="547"/>
          <w:marRight w:val="0"/>
          <w:marTop w:val="58"/>
          <w:marBottom w:val="0"/>
          <w:divBdr>
            <w:top w:val="none" w:sz="0" w:space="0" w:color="auto"/>
            <w:left w:val="none" w:sz="0" w:space="0" w:color="auto"/>
            <w:bottom w:val="none" w:sz="0" w:space="0" w:color="auto"/>
            <w:right w:val="none" w:sz="0" w:space="0" w:color="auto"/>
          </w:divBdr>
        </w:div>
        <w:div w:id="1850873968">
          <w:marLeft w:val="547"/>
          <w:marRight w:val="0"/>
          <w:marTop w:val="58"/>
          <w:marBottom w:val="0"/>
          <w:divBdr>
            <w:top w:val="none" w:sz="0" w:space="0" w:color="auto"/>
            <w:left w:val="none" w:sz="0" w:space="0" w:color="auto"/>
            <w:bottom w:val="none" w:sz="0" w:space="0" w:color="auto"/>
            <w:right w:val="none" w:sz="0" w:space="0" w:color="auto"/>
          </w:divBdr>
        </w:div>
        <w:div w:id="1973946596">
          <w:marLeft w:val="547"/>
          <w:marRight w:val="0"/>
          <w:marTop w:val="58"/>
          <w:marBottom w:val="0"/>
          <w:divBdr>
            <w:top w:val="none" w:sz="0" w:space="0" w:color="auto"/>
            <w:left w:val="none" w:sz="0" w:space="0" w:color="auto"/>
            <w:bottom w:val="none" w:sz="0" w:space="0" w:color="auto"/>
            <w:right w:val="none" w:sz="0" w:space="0" w:color="auto"/>
          </w:divBdr>
        </w:div>
      </w:divsChild>
    </w:div>
    <w:div w:id="770736109">
      <w:bodyDiv w:val="1"/>
      <w:marLeft w:val="0"/>
      <w:marRight w:val="0"/>
      <w:marTop w:val="0"/>
      <w:marBottom w:val="0"/>
      <w:divBdr>
        <w:top w:val="none" w:sz="0" w:space="0" w:color="auto"/>
        <w:left w:val="none" w:sz="0" w:space="0" w:color="auto"/>
        <w:bottom w:val="none" w:sz="0" w:space="0" w:color="auto"/>
        <w:right w:val="none" w:sz="0" w:space="0" w:color="auto"/>
      </w:divBdr>
    </w:div>
    <w:div w:id="939684562">
      <w:bodyDiv w:val="1"/>
      <w:marLeft w:val="0"/>
      <w:marRight w:val="0"/>
      <w:marTop w:val="0"/>
      <w:marBottom w:val="0"/>
      <w:divBdr>
        <w:top w:val="none" w:sz="0" w:space="0" w:color="auto"/>
        <w:left w:val="none" w:sz="0" w:space="0" w:color="auto"/>
        <w:bottom w:val="none" w:sz="0" w:space="0" w:color="auto"/>
        <w:right w:val="none" w:sz="0" w:space="0" w:color="auto"/>
      </w:divBdr>
    </w:div>
    <w:div w:id="1317800450">
      <w:bodyDiv w:val="1"/>
      <w:marLeft w:val="0"/>
      <w:marRight w:val="0"/>
      <w:marTop w:val="0"/>
      <w:marBottom w:val="0"/>
      <w:divBdr>
        <w:top w:val="none" w:sz="0" w:space="0" w:color="auto"/>
        <w:left w:val="none" w:sz="0" w:space="0" w:color="auto"/>
        <w:bottom w:val="none" w:sz="0" w:space="0" w:color="auto"/>
        <w:right w:val="none" w:sz="0" w:space="0" w:color="auto"/>
      </w:divBdr>
    </w:div>
    <w:div w:id="1558936370">
      <w:bodyDiv w:val="1"/>
      <w:marLeft w:val="0"/>
      <w:marRight w:val="0"/>
      <w:marTop w:val="0"/>
      <w:marBottom w:val="0"/>
      <w:divBdr>
        <w:top w:val="none" w:sz="0" w:space="0" w:color="auto"/>
        <w:left w:val="none" w:sz="0" w:space="0" w:color="auto"/>
        <w:bottom w:val="none" w:sz="0" w:space="0" w:color="auto"/>
        <w:right w:val="none" w:sz="0" w:space="0" w:color="auto"/>
      </w:divBdr>
    </w:div>
    <w:div w:id="18661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CC32-32AA-4BA7-BC7C-F393CBCA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3065</Words>
  <Characters>17476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Phillips (Anti Fraud)</dc:creator>
  <cp:keywords/>
  <cp:lastModifiedBy>Miriam Wearing</cp:lastModifiedBy>
  <cp:revision>2</cp:revision>
  <cp:lastPrinted>2019-01-16T15:29:00Z</cp:lastPrinted>
  <dcterms:created xsi:type="dcterms:W3CDTF">2022-11-18T10:54:00Z</dcterms:created>
  <dcterms:modified xsi:type="dcterms:W3CDTF">2022-11-18T10:54:00Z</dcterms:modified>
</cp:coreProperties>
</file>